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1.tiff" ContentType="image/tiff"/>
  <Override PartName="/word/media/rId65.png" ContentType="image/png"/>
  <Override PartName="/word/media/rId73.pdf" ContentType="application/pdf"/>
  <Override PartName="/word/media/rId48.pdf" ContentType="application/pdf"/>
  <Override PartName="/word/media/rId6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suggests</w:t>
      </w:r>
      <w:r>
        <w:t xml:space="preserve"> </w:t>
      </w:r>
      <w:r>
        <w:t xml:space="preserve">potential</w:t>
      </w:r>
      <w:r>
        <w:t xml:space="preserve"> </w:t>
      </w:r>
      <w:r>
        <w:t xml:space="preserve">effects</w:t>
      </w:r>
      <w:r>
        <w:t xml:space="preserve"> </w:t>
      </w:r>
      <w:r>
        <w:t xml:space="preserve">of</w:t>
      </w:r>
      <w:r>
        <w:t xml:space="preserve"> </w:t>
      </w:r>
      <w:r>
        <w:t xml:space="preserve">plant</w:t>
      </w:r>
      <w:r>
        <w:t xml:space="preserve"> </w:t>
      </w:r>
      <w:r>
        <w:t xml:space="preserve">apparency</w:t>
      </w:r>
      <w:r>
        <w:t xml:space="preserve"> </w:t>
      </w:r>
      <w:r>
        <w:t xml:space="preserve">on</w:t>
      </w:r>
      <w:r>
        <w:t xml:space="preserve"> </w:t>
      </w:r>
      <w:r>
        <w:t xml:space="preserve">the</w:t>
      </w:r>
      <w:r>
        <w:t xml:space="preserve"> </w:t>
      </w:r>
      <w:r>
        <w:t xml:space="preserve">initial</w:t>
      </w:r>
      <w:r>
        <w:t xml:space="preserve"> </w:t>
      </w:r>
      <w:r>
        <w:t xml:space="preserve">colonization</w:t>
      </w:r>
      <w:r>
        <w:t xml:space="preserve"> </w:t>
      </w:r>
      <w:r>
        <w:t xml:space="preserve">of</w:t>
      </w:r>
      <w:r>
        <w:t xml:space="preserve"> </w:t>
      </w:r>
      <w:r>
        <w:t xml:space="preserve">aphids</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t xml:space="preserve">,</w:t>
      </w:r>
      <w:r>
        <w:t xml:space="preserve"> </w:t>
      </w:r>
      <w:r>
        <w:rPr>
          <w:bCs/>
          <w:b/>
        </w:rPr>
        <w:t xml:space="preserve">Yasuhiro Sato</w:t>
      </w:r>
      <w:r>
        <w:rPr>
          <w:vertAlign w:val="superscript"/>
        </w:rPr>
        <w:t xml:space="preserve">1,2†*</w:t>
      </w:r>
      <w:r>
        <w:t xml:space="preserve">,</w:t>
      </w:r>
      <w:r>
        <w:t xml:space="preserve"> </w:t>
      </w:r>
      <w:r>
        <w:rPr>
          <w:bCs/>
          <w:b/>
        </w:rPr>
        <w:t xml:space="preserve">Misako Yamazaki</w:t>
      </w:r>
      <w:r>
        <w:rPr>
          <w:vertAlign w:val="superscript"/>
        </w:rPr>
        <w:t xml:space="preserve">1</w:t>
      </w:r>
      <w:r>
        <w:t xml:space="preserve">,</w:t>
      </w:r>
      <w:r>
        <w:t xml:space="preserve"> </w:t>
      </w:r>
      <w:r>
        <w:rPr>
          <w:bCs/>
          <w:b/>
        </w:rPr>
        <w:t xml:space="preserve">Marcel Brasser</w:t>
      </w:r>
      <w:r>
        <w:rPr>
          <w:vertAlign w:val="superscript"/>
        </w:rPr>
        <w:t xml:space="preserve">1</w:t>
      </w:r>
      <w:r>
        <w:t xml:space="preserve">,</w:t>
      </w:r>
      <w:r>
        <w:t xml:space="preserve"> </w:t>
      </w:r>
      <w:r>
        <w:rPr>
          <w:bCs/>
          <w:b/>
        </w:rPr>
        <w:t xml:space="preserve">Matthew A. Barbour</w:t>
      </w:r>
      <w:r>
        <w:rPr>
          <w:vertAlign w:val="superscript"/>
        </w:rPr>
        <w:t xml:space="preserve">1,3</w:t>
      </w:r>
      <w:r>
        <w:t xml:space="preserve">,</w:t>
      </w:r>
      <w:r>
        <w:t xml:space="preserve"> </w:t>
      </w:r>
      <w:r>
        <w:rPr>
          <w:bCs/>
          <w:b/>
        </w:rPr>
        <w:t xml:space="preserve">Jordi Bascompte</w:t>
      </w:r>
      <w:r>
        <w:rPr>
          <w:vertAlign w:val="superscript"/>
        </w:rPr>
        <w:t xml:space="preserve">1</w:t>
      </w:r>
      <w:r>
        <w:t xml:space="preserve">,</w:t>
      </w:r>
      <w:r>
        <w:t xml:space="preserve"> </w:t>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Départemente de Biologie, Université de Sherbrooke, 2500 boulevard de l’Université, Sherbrooke, QC, J1K 2R1,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Plant size, height, and other architectural traits, collectively called</w:t>
      </w:r>
      <w:r>
        <w:t xml:space="preserve"> </w:t>
      </w:r>
      <w:r>
        <w:t xml:space="preserve">‘</w:t>
      </w:r>
      <w:r>
        <w:t xml:space="preserve">plant apparency</w:t>
      </w:r>
      <w:r>
        <w:t xml:space="preserve">’</w:t>
      </w:r>
      <w:r>
        <w:t xml:space="preserve">, determine plant’s visibility and consequent probability of being colonized by herbivores.</w:t>
      </w:r>
      <w:r>
        <w:t xml:space="preserve"> </w:t>
      </w:r>
      <w:r>
        <w:t xml:space="preserve">Although plant genes involved in physical and chemical defense are well studied in herbivory, less is known about the genetic basis underlying effects of plant apparency on herbivore colonization.</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GWAS of aphid abundance detected a rare but significant SNP variant on the third chromosome of</w:t>
      </w:r>
      <w:r>
        <w:t xml:space="preserve"> </w:t>
      </w:r>
      <w:r>
        <w:rPr>
          <w:iCs/>
          <w:i/>
        </w:rPr>
        <w:t xml:space="preserve">A. thaliana</w:t>
      </w:r>
      <w:r>
        <w:t xml:space="preserve">, which was also partly associated with the presence or absence of inflorescence.</w:t>
      </w:r>
      <w:r>
        <w:t xml:space="preserve"> </w:t>
      </w:r>
      <w:r>
        <w:t xml:space="preserve">Out of candidate genes near this significant SNP, a mutant of a ribosomal gene (AT3G13882) exhibited slower growth and later flowering than a wild type under laboratory conditions.</w:t>
      </w:r>
      <w:r>
        <w:t xml:space="preserve"> </w:t>
      </w:r>
      <w:r>
        <w:t xml:space="preserve">A no-choice assay with the turnip aphid,</w:t>
      </w:r>
      <w:r>
        <w:t xml:space="preserve"> </w:t>
      </w:r>
      <w:r>
        <w:rPr>
          <w:iCs/>
          <w:i/>
        </w:rPr>
        <w:t xml:space="preserve">Lipaphis erysimi</w:t>
      </w:r>
      <w:r>
        <w:t xml:space="preserve">, found that aphids were unable to successfully establish on the mutant.</w:t>
      </w:r>
      <w:r>
        <w:t xml:space="preserve"> </w:t>
      </w:r>
      <w:r>
        <w:t xml:space="preserve">These findings suggest that genes relevant to plant apparency might underpin aphid colonization in the field.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resistance</w:t>
      </w:r>
      <w:r>
        <w:t xml:space="preserve"> </w:t>
      </w:r>
      <w:r>
        <w:t xml:space="preserve">[1–4]</w:t>
      </w:r>
      <w:r>
        <w:t xml:space="preserve">, plant life-history traits also account for herbivory variation in field environments</w:t>
      </w:r>
      <w:r>
        <w:t xml:space="preserve"> </w:t>
      </w:r>
      <w:r>
        <w:t xml:space="preserve">[5,6]</w:t>
      </w:r>
      <w:r>
        <w:t xml:space="preserve">.</w:t>
      </w:r>
      <w:r>
        <w:t xml:space="preserve"> </w:t>
      </w:r>
      <w:r>
        <w:t xml:space="preserve">For example, plant size, height, and the other architectural traits often shape plants’ visibility for herbivores</w:t>
      </w:r>
      <w:r>
        <w:t xml:space="preserve"> </w:t>
      </w:r>
      <w:r>
        <w:t xml:space="preserve">[7,8]</w:t>
      </w:r>
      <w:r>
        <w:t xml:space="preserve">.</w:t>
      </w:r>
      <w:r>
        <w:t xml:space="preserve"> </w:t>
      </w:r>
      <w:r>
        <w:t xml:space="preserve">These sets of visible traits, collectively called plant apparency</w:t>
      </w:r>
      <w:r>
        <w:t xml:space="preserve"> </w:t>
      </w:r>
      <w:r>
        <w:t xml:space="preserve">[9]</w:t>
      </w:r>
      <w:r>
        <w:t xml:space="preserve">, changes across ontogeny from vegetative to reproductive stage</w:t>
      </w:r>
      <w:r>
        <w:t xml:space="preserve"> </w:t>
      </w:r>
      <w:r>
        <w:t xml:space="preserve">[6]</w:t>
      </w:r>
      <w:r>
        <w:t xml:space="preserve"> </w:t>
      </w:r>
      <w:r>
        <w:t xml:space="preserve">and thereby affect the probability of being harbored by herbivores</w:t>
      </w:r>
      <w:r>
        <w:t xml:space="preserve"> </w:t>
      </w:r>
      <w:r>
        <w:t xml:space="preserve">[10,11]</w:t>
      </w:r>
      <w:r>
        <w:t xml:space="preserve">.</w:t>
      </w:r>
      <w:r>
        <w:t xml:space="preserve"> </w:t>
      </w:r>
      <w:r>
        <w:t xml:space="preserve">By focusing on genetic variation within a plant species, several studies have shown that plant architectural traits shape heritable variation in herbivore abundance and community composition</w:t>
      </w:r>
      <w:r>
        <w:t xml:space="preserve"> </w:t>
      </w:r>
      <w:r>
        <w:t xml:space="preserve">[4,12,13]</w:t>
      </w:r>
      <w:r>
        <w:t xml:space="preserve">.</w:t>
      </w:r>
      <w:r>
        <w:t xml:space="preserve"> </w:t>
      </w:r>
      <w:r>
        <w:t xml:space="preserve">Yet, less is known about the underlying genetic basis of the plant apparency on herbivore colonization.</w:t>
      </w:r>
    </w:p>
    <w:p>
      <w:pPr>
        <w:pStyle w:val="BodyText"/>
      </w:pPr>
      <w:r>
        <w:t xml:space="preserve">Genome-wide association study (GWAS) is an effective way to dissect the genetic architecture of ecologically important traits</w:t>
      </w:r>
      <w:r>
        <w:t xml:space="preserve"> </w:t>
      </w:r>
      <w:r>
        <w:t xml:space="preserve">[14,15]</w:t>
      </w:r>
      <w:r>
        <w:t xml:space="preserve">.</w:t>
      </w:r>
      <w:r>
        <w:t xml:space="preserve"> </w:t>
      </w:r>
      <w:r>
        <w:t xml:space="preserve">Through associations between single nucleotide polymorphisms (SNPs) and traits, GWAS provides a hypothesis-free approach to identify novel genes from natural phenotypic variation</w:t>
      </w:r>
      <w:r>
        <w:t xml:space="preserve"> </w:t>
      </w:r>
      <w:r>
        <w:t xml:space="preserve">[16,17]</w:t>
      </w:r>
      <w:r>
        <w:t xml:space="preserve">.</w:t>
      </w:r>
      <w:r>
        <w:t xml:space="preserve"> </w:t>
      </w:r>
      <w:r>
        <w:t xml:space="preserve">Recent studies showed that controlled laboratory conditions are unlikely to reflect outdoor environments where interspecific interactions typically occur</w:t>
      </w:r>
      <w:r>
        <w:t xml:space="preserve"> </w:t>
      </w:r>
      <w:r>
        <w:t xml:space="preserve">[18,19]</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[20–24]</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[24–26]</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[4,27]</w:t>
      </w:r>
      <w:r>
        <w:t xml:space="preserve">.</w:t>
      </w:r>
      <w:r>
        <w:t xml:space="preserve"> </w:t>
      </w:r>
      <w:r>
        <w:t xml:space="preserve">Of the diverse insect herbivores, aphids are known to be major herbivores occurring across the natural distribution range of</w:t>
      </w:r>
      <w:r>
        <w:t xml:space="preserve"> </w:t>
      </w:r>
      <w:r>
        <w:rPr>
          <w:iCs/>
          <w:i/>
        </w:rPr>
        <w:t xml:space="preserve">A. thaliana</w:t>
      </w:r>
      <w:r>
        <w:t xml:space="preserve"> </w:t>
      </w:r>
      <w:r>
        <w:t xml:space="preserve">[28]</w:t>
      </w:r>
      <w:r>
        <w:t xml:space="preserve">.</w:t>
      </w:r>
      <w:r>
        <w:t xml:space="preserve"> </w:t>
      </w:r>
      <w:r>
        <w:t xml:space="preserve">Because aphids often suck phloem sap from leaf veins and flowering stems, we hypothesized that plant apparency may play a key role in harboring aphids under field conditions.</w:t>
      </w:r>
    </w:p>
    <w:p>
      <w:pPr>
        <w:pStyle w:val="BodyText"/>
      </w:pPr>
      <w:r>
        <w:t xml:space="preserve">To reveal the genetic architecture of aphid abundance, we combined GWAS with a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accessions</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[29]</w:t>
      </w:r>
      <w:r>
        <w:t xml:space="preserve"> </w:t>
      </w:r>
      <w:r>
        <w:t xml:space="preserve">except for two trichome mutants and an ungenotyped accession.</w:t>
      </w:r>
      <w:r>
        <w:t xml:space="preserve"> </w:t>
      </w:r>
      <w:r>
        <w:t xml:space="preserve">All of these accessions were genotyped in the RegMap</w:t>
      </w:r>
      <w:r>
        <w:t xml:space="preserve"> </w:t>
      </w:r>
      <w:r>
        <w:t xml:space="preserve">[30]</w:t>
      </w:r>
      <w:r>
        <w:t xml:space="preserve"> </w:t>
      </w:r>
      <w:r>
        <w:t xml:space="preserve">and 1001 Genomes</w:t>
      </w:r>
      <w:r>
        <w:t xml:space="preserve"> </w:t>
      </w:r>
      <w:r>
        <w:t xml:space="preserve">[31]</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w:t>
      </w:r>
      <w:r>
        <w:t xml:space="preserve"> </w:t>
      </w:r>
      <w:r>
        <w:rPr>
          <w:iCs/>
          <w:i/>
        </w:rPr>
        <w:t xml:space="preserve">A. thaliana</w:t>
      </w:r>
      <w:r>
        <w:t xml:space="preserve"> </w:t>
      </w:r>
      <w:r>
        <w:t xml:space="preserve">accessions to a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To keep all the accessions in the rosette stage at the start of the field experiment, we initially cultivated</w:t>
      </w:r>
      <w:r>
        <w:t xml:space="preserve"> </w:t>
      </w:r>
      <w:r>
        <w:rPr>
          <w:iCs/>
          <w:i/>
        </w:rPr>
        <w:t xml:space="preserve">A. thaliana</w:t>
      </w:r>
      <w:r>
        <w:t xml:space="preserve"> </w:t>
      </w:r>
      <w:r>
        <w:t xml:space="preserve">in a laboratory under a short-day condition (8h light/16h dark cycle at 20</w:t>
      </w:r>
      <m:oMath>
        <m:sSup>
          <m:e>
            <m:r>
              <m:t>​</m:t>
            </m:r>
          </m:e>
          <m:sup>
            <m:r>
              <m:rPr>
                <m:sty m:val="p"/>
              </m:rPr>
              <m:t>∘</m:t>
            </m:r>
          </m:sup>
        </m:sSup>
      </m:oMath>
      <w:r>
        <w:t xml:space="preserve">C).</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cultivated in a growth chamber for 6 weeks under the short-day condition.</w:t>
      </w:r>
      <w:r>
        <w:t xml:space="preserve"> </w:t>
      </w:r>
      <w:r>
        <w:t xml:space="preserve">Plants grown on the Jiffy-seven pots were then planted in a new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identified and counted by a single observer (Y. Sato) every two or three days.</w:t>
      </w:r>
      <w:r>
        <w:t xml:space="preserve"> </w:t>
      </w:r>
      <w:r>
        <w:t xml:space="preserve">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 were identified based on the presence or absence of waxy compounds on their abdomen.</w:t>
      </w:r>
      <w:r>
        <w:t xml:space="preserve"> </w:t>
      </w:r>
      <w:r>
        <w:t xml:space="preserve">These two species can be distinguished from the generalist aphid</w:t>
      </w:r>
      <w:r>
        <w:t xml:space="preserve"> </w:t>
      </w:r>
      <w:r>
        <w:rPr>
          <w:iCs/>
          <w:i/>
        </w:rPr>
        <w:t xml:space="preserve">Myzus persicae</w:t>
      </w:r>
      <w:r>
        <w:t xml:space="preserve"> </w:t>
      </w:r>
      <w:r>
        <w:t xml:space="preserve">based on the length of cornicules, though</w:t>
      </w:r>
      <w:r>
        <w:t xml:space="preserve"> </w:t>
      </w:r>
      <w:r>
        <w:rPr>
          <w:iCs/>
          <w:i/>
        </w:rPr>
        <w:t xml:space="preserve">M. persicae</w:t>
      </w:r>
      <w:r>
        <w:t xml:space="preserve"> </w:t>
      </w:r>
      <w:r>
        <w:t xml:space="preserve">did not occur during the present field experiment.</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All GWAS analyses were performed using the GWA-portal (</w:t>
      </w:r>
      <w:hyperlink r:id="rId27">
        <w:r>
          <w:rPr>
            <w:rStyle w:val="Hyperlink"/>
          </w:rPr>
          <w:t xml:space="preserve">https://gwas.gmi.oeaw.ac.at</w:t>
        </w:r>
      </w:hyperlink>
      <w:r>
        <w:t xml:space="preserve">)</w:t>
      </w:r>
      <w:r>
        <w:t xml:space="preserve"> </w:t>
      </w:r>
      <w:r>
        <w:t xml:space="preserve">[32]</w:t>
      </w:r>
      <w:r>
        <w:t xml:space="preserve">.</w:t>
      </w:r>
      <w:r>
        <w:t xml:space="preserve"> </w:t>
      </w:r>
      <w:r>
        <w:t xml:space="preserve">The imputed full-sequence dataset</w:t>
      </w:r>
      <w:r>
        <w:t xml:space="preserve"> </w:t>
      </w:r>
      <w:r>
        <w:t xml:space="preserve">[32,33]</w:t>
      </w:r>
      <w:r>
        <w:t xml:space="preserve"> </w:t>
      </w:r>
      <w:r>
        <w:t xml:space="preserve">was used as SNP data for the 196 accessions, which provided combined SNP data imputed between 250k SNP chip genotyping by the RegMap project</w:t>
      </w:r>
      <w:r>
        <w:t xml:space="preserve"> </w:t>
      </w:r>
      <w:r>
        <w:t xml:space="preserve">[34]</w:t>
      </w:r>
      <w:r>
        <w:t xml:space="preserve"> </w:t>
      </w:r>
      <w:r>
        <w:t xml:space="preserve">and high-throughput sequencing by the 1001 Genome Project</w:t>
      </w:r>
      <w:r>
        <w:t xml:space="preserve"> </w:t>
      </w:r>
      <w:r>
        <w:t xml:space="preserve">[35]</w:t>
      </w:r>
      <w:r>
        <w:t xml:space="preserve"> </w:t>
      </w:r>
      <w:r>
        <w:t xml:space="preserve">Pseudo-heritability</w:t>
      </w:r>
      <w:r>
        <w:t xml:space="preserve"> </w:t>
      </w:r>
      <m:oMath>
        <m:sSup>
          <m:e>
            <m:r>
              <m:t>h</m:t>
            </m:r>
          </m:e>
          <m:sup>
            <m:r>
              <m:t>2</m:t>
            </m:r>
          </m:sup>
        </m:sSup>
      </m:oMath>
      <w:r>
        <w:t xml:space="preserve"> </w:t>
      </w:r>
      <w:r>
        <w:t xml:space="preserve">[32]</w:t>
      </w:r>
      <w:r>
        <w:t xml:space="preserve"> </w:t>
      </w:r>
      <w:r>
        <w:t xml:space="preserve">was calculated for the target phenotype before association mapping.</w:t>
      </w:r>
      <w:r>
        <w:t xml:space="preserve"> </w:t>
      </w:r>
      <w:r>
        <w:t xml:space="preserve">Accelerated mixed models</w:t>
      </w:r>
      <w:r>
        <w:t xml:space="preserve"> </w:t>
      </w:r>
      <w:r>
        <w:t xml:space="preserve">[32]</w:t>
      </w:r>
      <w:r>
        <w:t xml:space="preserve"> </w:t>
      </w:r>
      <w:r>
        <w:t xml:space="preserve">were used for association mapping with a correction of kinship structure.</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[36]</w:t>
      </w:r>
      <w:r>
        <w:t xml:space="preserve"> </w:t>
      </w:r>
      <w:r>
        <w:t xml:space="preserve">via The Arabidopsis Information Resource (</w:t>
      </w:r>
      <w:hyperlink r:id="rId28">
        <w:r>
          <w:rPr>
            <w:rStyle w:val="Hyperlink"/>
          </w:rPr>
          <w:t xml:space="preserve">https://www.arabidopsis.org/</w:t>
        </w:r>
      </w:hyperlink>
      <w:r>
        <w:t xml:space="preserve">).</w:t>
      </w:r>
    </w:p>
    <w:p>
      <w:pPr>
        <w:pStyle w:val="BodyText"/>
      </w:pPr>
      <w:r>
        <w:t xml:space="preserve">We analyzed aphid abundance as well as the other three traits as the target phenotype in the GWA-portal.</w:t>
      </w:r>
      <w:r>
        <w:t xml:space="preserve"> </w:t>
      </w:r>
      <w:r>
        <w:t xml:space="preserve">The aphid abundance was quantified as the maximum number of aphids, which included</w:t>
      </w:r>
      <w:r>
        <w:t xml:space="preserve"> </w:t>
      </w:r>
      <w:r>
        <w:rPr>
          <w:iCs/>
          <w:i/>
        </w:rPr>
        <w:t xml:space="preserve">Lipaphis erysimi</w:t>
      </w:r>
      <w:r>
        <w:t xml:space="preserve"> </w:t>
      </w:r>
      <w:r>
        <w:t xml:space="preserve">and</w:t>
      </w:r>
      <w:r>
        <w:t xml:space="preserve"> </w:t>
      </w:r>
      <w:r>
        <w:rPr>
          <w:iCs/>
          <w:i/>
        </w:rPr>
        <w:t xml:space="preserve">Brevicoryne brassicae</w:t>
      </w:r>
      <w:r>
        <w:t xml:space="preserve"> </w:t>
      </w:r>
      <w:r>
        <w:t xml:space="preserve">(see Results), observed on a plant during the experiment.</w:t>
      </w:r>
      <w:r>
        <w:t xml:space="preserve"> </w:t>
      </w:r>
      <w:r>
        <w:t xml:space="preserve">The number of aphids was ln(</w:t>
      </w:r>
      <m:oMath>
        <m:r>
          <m:t>x</m:t>
        </m:r>
        <m:r>
          <m:rPr>
            <m:sty m:val="p"/>
          </m:rPr>
          <m:t>+</m:t>
        </m:r>
        <m:r>
          <m:t>1</m:t>
        </m:r>
      </m:oMath>
      <w:r>
        <w:t xml:space="preserve">)-transformed to improve normality.</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three times.</w:t>
      </w:r>
    </w:p>
    <w:p>
      <w:pPr>
        <w:pStyle w:val="BodyText"/>
      </w:pPr>
      <w:r>
        <w:t xml:space="preserve">Following the instruction</w:t>
      </w:r>
      <w:r>
        <w:t xml:space="preserve"> </w:t>
      </w:r>
      <w:r>
        <w:t xml:space="preserve">[37]</w:t>
      </w:r>
      <w:r>
        <w:t xml:space="preserve">, we examined the insertion site by polymerase chain reaction (PCR) amplification and Sanger sequencing; and gene expression levels by Semi-quantitative reverse transcription and PCR (sqRT-PCR).</w:t>
      </w:r>
      <w:r>
        <w:t xml:space="preserve"> </w:t>
      </w:r>
      <w:r>
        <w:t xml:space="preserve">To confirm the T-DNA insertion site of SALK_039481, we extracted DNA from leaves using the CTAB method. We then amplified the DNA by polymerase chain reaction (PCR) as follows: 2 min at 95</w:t>
      </w:r>
      <m:oMath>
        <m:sSup>
          <m:e>
            <m:r>
              <m:t>​</m:t>
            </m:r>
          </m:e>
          <m:sup>
            <m:r>
              <m:rPr>
                <m:sty m:val="p"/>
              </m:rPr>
              <m:t>∘</m:t>
            </m:r>
          </m:sup>
        </m:sSup>
      </m:oMath>
      <w:r>
        <w:t xml:space="preserve">C; 35 cycles of 15 s at 95</w:t>
      </w:r>
      <m:oMath>
        <m:sSup>
          <m:e>
            <m:r>
              <m:t>​</m:t>
            </m:r>
          </m:e>
          <m:sup>
            <m:r>
              <m:rPr>
                <m:sty m:val="p"/>
              </m:rPr>
              <m:t>∘</m:t>
            </m:r>
          </m:sup>
        </m:sSup>
      </m:oMath>
      <w:r>
        <w:t xml:space="preserve">C, 30 s at 55</w:t>
      </w:r>
      <m:oMath>
        <m:sSup>
          <m:e>
            <m:r>
              <m:t>​</m:t>
            </m:r>
          </m:e>
          <m:sup>
            <m:r>
              <m:rPr>
                <m:sty m:val="p"/>
              </m:rPr>
              <m:t>∘</m:t>
            </m:r>
          </m:sup>
        </m:sSup>
      </m:oMath>
      <w:r>
        <w:t xml:space="preserve">C, 1.5 min at 72</w:t>
      </w:r>
      <m:oMath>
        <m:sSup>
          <m:e>
            <m:r>
              <m:t>​</m:t>
            </m:r>
          </m:e>
          <m:sup>
            <m:r>
              <m:rPr>
                <m:sty m:val="p"/>
              </m:rPr>
              <m:t>∘</m:t>
            </m:r>
          </m:sup>
        </m:sSup>
      </m:oMath>
      <w:r>
        <w:t xml:space="preserve">C; and a final extension step of 3 min at 72</w:t>
      </w:r>
      <m:oMath>
        <m:sSup>
          <m:e>
            <m:r>
              <m:t>​</m:t>
            </m:r>
          </m:e>
          <m:sup>
            <m:r>
              <m:rPr>
                <m:sty m:val="p"/>
              </m:rPr>
              <m:t>∘</m:t>
            </m:r>
          </m:sup>
        </m:sSup>
      </m:oMath>
      <w:r>
        <w:t xml:space="preserve">C. The PCR product was finally sequenced by Sanger sequencing to confirm the insertion site.</w:t>
      </w:r>
    </w:p>
    <w:p>
      <w:pPr>
        <w:pStyle w:val="BodyText"/>
      </w:pPr>
      <w:r>
        <w:t xml:space="preserve">To perform sqRT-PCR, we extracted the RNA from leaves using RNeasy kit (Qiagen: Catalogue Number: 74181) and purified the RNA with DNA-free kit (Ambion: Cat. No. AM1906).</w:t>
      </w:r>
      <w:r>
        <w:t xml:space="preserve"> </w:t>
      </w:r>
      <w:r>
        <w:t xml:space="preserve">RNA concentration was measured by Qubit spectrophotometer (Invitrogen: Cat. No. Q10211).</w:t>
      </w:r>
      <w:r>
        <w:t xml:space="preserve"> </w:t>
      </w:r>
      <w:r>
        <w:t xml:space="preserve">Then we obtained the cDNA using High-Capacity RNA-to-cDNA kit (Applied Biosystems: Cat. No. 4387406) from 500 ng of the total RNA.</w:t>
      </w:r>
      <w:r>
        <w:t xml:space="preserve"> </w:t>
      </w:r>
      <w:r>
        <w:t xml:space="preserve">The cDNA was amplified by PCR as follows: 3 min at 95</w:t>
      </w:r>
      <m:oMath>
        <m:sSup>
          <m:e>
            <m:r>
              <m:t>​</m:t>
            </m:r>
          </m:e>
          <m:sup>
            <m:r>
              <m:rPr>
                <m:sty m:val="p"/>
              </m:rPr>
              <m:t>∘</m:t>
            </m:r>
          </m:sup>
        </m:sSup>
      </m:oMath>
      <w:r>
        <w:t xml:space="preserve">C; 28 cycles of 15 s at 95</w:t>
      </w:r>
      <m:oMath>
        <m:sSup>
          <m:e>
            <m:r>
              <m:t>​</m:t>
            </m:r>
          </m:e>
          <m:sup>
            <m:r>
              <m:rPr>
                <m:sty m:val="p"/>
              </m:rPr>
              <m:t>∘</m:t>
            </m:r>
          </m:sup>
        </m:sSup>
      </m:oMath>
      <w:r>
        <w:t xml:space="preserve">C, 30 s at 55</w:t>
      </w:r>
      <m:oMath>
        <m:sSup>
          <m:e>
            <m:r>
              <m:t>​</m:t>
            </m:r>
          </m:e>
          <m:sup>
            <m:r>
              <m:rPr>
                <m:sty m:val="p"/>
              </m:rPr>
              <m:t>∘</m:t>
            </m:r>
          </m:sup>
        </m:sSup>
      </m:oMath>
      <w:r>
        <w:t xml:space="preserve">C, 1 min at 72</w:t>
      </w:r>
      <m:oMath>
        <m:sSup>
          <m:e>
            <m:r>
              <m:t>​</m:t>
            </m:r>
          </m:e>
          <m:sup>
            <m:r>
              <m:rPr>
                <m:sty m:val="p"/>
              </m:rPr>
              <m:t>∘</m:t>
            </m:r>
          </m:sup>
        </m:sSup>
      </m:oMath>
      <w:r>
        <w:t xml:space="preserve">C; and a final extension step of 5 min at 72</w:t>
      </w:r>
      <m:oMath>
        <m:sSup>
          <m:e>
            <m:r>
              <m:t>​</m:t>
            </m:r>
          </m:e>
          <m:sup>
            <m:r>
              <m:rPr>
                <m:sty m:val="p"/>
              </m:rPr>
              <m:t>∘</m:t>
            </m:r>
          </m:sup>
        </m:sSup>
      </m:oMath>
      <w:r>
        <w:t xml:space="preserve">C.</w:t>
      </w:r>
      <w:r>
        <w:t xml:space="preserve"> </w:t>
      </w:r>
      <w:r>
        <w:t xml:space="preserve">A gel electrophoresis was performed using a 1% agarose with 120 V for 60 min. The PCR products were finally visualized an UV trans-illuminator system.</w:t>
      </w:r>
    </w:p>
    <w:p>
      <w:pPr>
        <w:pStyle w:val="BodyText"/>
      </w:pPr>
      <w:r>
        <w:t xml:space="preserve">We found that one of the four lines, the SALK_039481 (NASC Accession ID: N670586), indeed had a T-DNA insertion on an exon of one of two splice variants (Fig.</w:t>
      </w:r>
      <w:r>
        <w:t xml:space="preserve"> </w:t>
      </w:r>
      <w:hyperlink w:anchor="fig:tDNA">
        <w:r>
          <w:rPr>
            <w:rStyle w:val="Hyperlink"/>
          </w:rPr>
          <w:t xml:space="preserve">S1</w:t>
        </w:r>
      </w:hyperlink>
      <w:r>
        <w:t xml:space="preserve">) and reduced expression level of AT3G13882 (Fig.</w:t>
      </w:r>
      <w:r>
        <w:t xml:space="preserve"> </w:t>
      </w:r>
      <w:hyperlink w:anchor="fig:sqRT_PCR">
        <w:r>
          <w:rPr>
            <w:rStyle w:val="Hyperlink"/>
          </w:rPr>
          <w:t xml:space="preserve">S2</w:t>
        </w:r>
      </w:hyperlink>
      <w:r>
        <w:t xml:space="preserve">), suggesting that the insertion disrupted the gene.</w:t>
      </w:r>
      <w:r>
        <w:t xml:space="preserve"> </w:t>
      </w:r>
      <w:r>
        <w:t xml:space="preserve">In the other three lines, the insertion was not found or low germination rate prevented further experiments.</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cycle at 22</w:t>
      </w:r>
      <m:oMath>
        <m:sSup>
          <m:e>
            <m:r>
              <m:t>​</m:t>
            </m:r>
          </m:e>
          <m:sup>
            <m:r>
              <m:rPr>
                <m:sty m:val="p"/>
              </m:rPr>
              <m:t>∘</m:t>
            </m:r>
          </m:sup>
        </m:sSup>
      </m:oMath>
      <w:r>
        <w:t xml:space="preserve">C/20</w:t>
      </w:r>
      <m:oMath>
        <m:sSup>
          <m:e>
            <m:r>
              <m:t>​</m:t>
            </m:r>
          </m:e>
          <m:sup>
            <m:r>
              <m:rPr>
                <m:sty m:val="p"/>
              </m:rPr>
              <m:t>∘</m:t>
            </m:r>
          </m:sup>
        </m:sSup>
      </m:oMath>
      <w:r>
        <w:t xml:space="preserve">C).</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[38]</w:t>
      </w:r>
      <w:r>
        <w:t xml:space="preserve">.</w:t>
      </w:r>
      <w:r>
        <w:t xml:space="preserve"> </w:t>
      </w:r>
      <w:r>
        <w:t xml:space="preserve">The enclosed plants were incubated under the long-day condition.</w:t>
      </w:r>
      <w:r>
        <w:t xml:space="preserve"> </w:t>
      </w:r>
      <w:r>
        <w:t xml:space="preserve">The number of aphids per plant was counted by eye 3, 7, 10, and 14 days after the release of aphids.</w:t>
      </w:r>
      <w:r>
        <w:t xml:space="preserve"> </w:t>
      </w:r>
      <w:r>
        <w:t xml:space="preserve">We did not count aphids that escaped outside the area of a plant.</w:t>
      </w:r>
      <w:r>
        <w:t xml:space="preserve"> </w:t>
      </w:r>
      <w:r>
        <w:t xml:space="preserve">Flowering time was defined as the number of days to flowering, and recorded during the aphid experiment.</w:t>
      </w:r>
    </w:p>
    <w:bookmarkEnd w:id="33"/>
    <w:bookmarkStart w:id="34" w:name="data-analysis-1"/>
    <w:p>
      <w:pPr>
        <w:pStyle w:val="Heading3"/>
      </w:pPr>
      <w:r>
        <w:t xml:space="preserve">Data analysis</w:t>
      </w:r>
    </w:p>
    <w:p>
      <w:pPr>
        <w:pStyle w:val="FirstParagraph"/>
      </w:pPr>
      <w:r>
        <w:t xml:space="preserve">We used linear mixed models (LMMs) or generalized linear mixed models (GLMMs) to test phenotypic differences between the mutant and the Col-0 wild type.</w:t>
      </w:r>
      <w:r>
        <w:t xml:space="preserve"> </w:t>
      </w:r>
      <w:r>
        <w:t xml:space="preserve">The plant size and flowering time were analyzed using LMMs that assumed Gaussian errors.</w:t>
      </w:r>
      <w:r>
        <w:t xml:space="preserve"> </w:t>
      </w:r>
      <w:r>
        <w:t xml:space="preserve">The number of aphids i.e., the count response was analyzed using GLMMs with Poisson error structure and log link function.</w:t>
      </w:r>
      <w:r>
        <w:t xml:space="preserve"> </w:t>
      </w:r>
      <w:r>
        <w:t xml:space="preserve">Paired positions of a mutant and wild type plant were incorporated as a random effect to consider spatial heterogeneity within a growth chamber environment.</w:t>
      </w:r>
      <w:r>
        <w:t xml:space="preserve"> </w:t>
      </w:r>
      <w:r>
        <w:t xml:space="preserve">An analysis of deviance with a</w:t>
      </w:r>
      <w:r>
        <w:t xml:space="preserve"> </w:t>
      </w:r>
      <m:oMath>
        <m:r>
          <m:t>F</m:t>
        </m:r>
      </m:oMath>
      <w:r>
        <w:t xml:space="preserve">-test was used to test the significance of the mutant vs. wild type (df1 = 1) against phenotypic variation within the random effect of the paired positions (df2 = 10 pairs - 1 fixed effect = 9).</w:t>
      </w:r>
      <w:r>
        <w:t xml:space="preserve"> </w:t>
      </w:r>
      <w:r>
        <w:t xml:space="preserve">All statistical analyses were performed using R version 4.0.3</w:t>
      </w:r>
      <w:r>
        <w:t xml:space="preserve"> </w:t>
      </w:r>
      <w:r>
        <w:t xml:space="preserve">[39]</w:t>
      </w:r>
      <w:r>
        <w:t xml:space="preserve">.</w:t>
      </w:r>
      <w:r>
        <w:t xml:space="preserve"> </w:t>
      </w:r>
      <w:r>
        <w:t xml:space="preserve">For LMM and GLMM, we used the lmer and glmer function implemented in the lme4 package</w:t>
      </w:r>
      <w:r>
        <w:t xml:space="preserve"> </w:t>
      </w:r>
      <w:r>
        <w:t xml:space="preserve">[40]</w:t>
      </w:r>
      <w:r>
        <w:t xml:space="preserve">.</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 in Zurich within a native distribution range of</w:t>
      </w:r>
      <w:r>
        <w:t xml:space="preserve"> </w:t>
      </w:r>
      <w:r>
        <w:rPr>
          <w:iCs/>
          <w:i/>
        </w:rPr>
        <w:t xml:space="preserve">A. thaliana</w:t>
      </w:r>
      <w:r>
        <w:t xml:space="preserve">.</w:t>
      </w:r>
      <w:r>
        <w:t xml:space="preserve"> </w:t>
      </w:r>
      <w:r>
        <w:t xml:space="preserve">At the transplantation, all plants were at the rosette stage, i.e., no bolting occurred.</w:t>
      </w:r>
      <w:r>
        <w:t xml:space="preserve"> </w:t>
      </w:r>
      <w:r>
        <w:t xml:space="preserve">After two weeks, 38% of individual plants initiated bolting, i.e., a stem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average 0.59 and 2.07 aphids,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avoid aphids.</w:t>
      </w:r>
      <w:r>
        <w:t xml:space="preserve"> </w:t>
      </w:r>
      <w:r>
        <w:t xml:space="preserve">In addition, we also distinguished the abundance of winged and wingless aphids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observation suggests that colonized aphids do not always establish a colony and thereby the success of the colony establishment also depends on the presence of stem after colonization.</w:t>
      </w:r>
    </w:p>
    <w:p>
      <w:pPr>
        <w:pStyle w:val="BodyText"/>
      </w:pPr>
      <w:r>
        <w:t xml:space="preserve">To reveal genetic architecture underlying variation in aphid abundance, we calculated heritability and then performed association mapping.</w:t>
      </w:r>
      <w:r>
        <w:t xml:space="preserve"> </w:t>
      </w:r>
      <w:r>
        <w:t xml:space="preserve">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Our mapping also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see also Fig.</w:t>
      </w:r>
      <w:r>
        <w:t xml:space="preserve"> </w:t>
      </w:r>
      <w:hyperlink w:anchor="fig:qqplot">
        <w:r>
          <w:rPr>
            <w:rStyle w:val="Hyperlink"/>
          </w:rPr>
          <w:t xml:space="preserve">S4</w:t>
        </w:r>
      </w:hyperlink>
      <w:r>
        <w:t xml:space="preserve"> </w:t>
      </w:r>
      <w:r>
        <w:t xml:space="preserve">for quantile-quantile plots).</w:t>
      </w:r>
      <w:r>
        <w:t xml:space="preserve"> </w:t>
      </w:r>
      <w:r>
        <w:t xml:space="preserve">This top-scoring SNP was also associated with the bolting to non-significant but strong extent (-log</w:t>
      </w:r>
      <w:r>
        <w:rPr>
          <w:vertAlign w:val="subscript"/>
        </w:rPr>
        <w:t xml:space="preserve">10</w:t>
      </w:r>
      <w:r>
        <w:t xml:space="preserve">(p)=5.26; Fig. SX).</w:t>
      </w:r>
      <w:r>
        <w:t xml:space="preserve"> </w:t>
      </w:r>
      <w:r>
        <w:t xml:space="preserve">The significance of chr3-4579292 turned smaller but remained at -log</w:t>
      </w:r>
      <w:r>
        <w:rPr>
          <w:vertAlign w:val="subscript"/>
        </w:rPr>
        <w:t xml:space="preserve">10</w:t>
      </w:r>
      <w:r>
        <w:t xml:space="preserve">(p)=6.40 when we adjusted the effects of bolting on aphid abundance, indicating the partial contribution of the bolting to shaping the significant association between chr3-4579292 SNP and aphid abundance.</w:t>
      </w:r>
      <w:r>
        <w:t xml:space="preserve"> </w:t>
      </w:r>
      <w:r>
        <w:t xml:space="preserve">In contrast, chr3-4579292 remained significant (-log</w:t>
      </w:r>
      <w:r>
        <w:rPr>
          <w:vertAlign w:val="subscript"/>
        </w:rPr>
        <w:t xml:space="preserve">10</w:t>
      </w:r>
      <w:r>
        <w:t xml:space="preserve">(p)=8.77) when we adjusted the effects of initial plant size on aphid abundance.</w:t>
      </w:r>
      <w:r>
        <w:t xml:space="preserve"> </w:t>
      </w:r>
      <w:r>
        <w:t xml:space="preserve">This weak influence of the initial size was plausible because plants were grown in a laboratory before field experiment to minimize variation in their initial size.</w:t>
      </w:r>
      <w:r>
        <w:t xml:space="preserve"> </w:t>
      </w:r>
      <w:r>
        <w:t xml:space="preserve">The line of GWAS analyses suggests that the SNP at chr3-4579292 was significantly associated with aphid abundance through its potential influence on flowering.</w:t>
      </w:r>
    </w:p>
    <w:p>
      <w:pPr>
        <w:pStyle w:val="BodyText"/>
      </w:pPr>
      <w:r>
        <w:t xml:space="preserve">To narrow down candidate genes, we further focused on genomic region near the significant SNP at chr3-4579292.</w:t>
      </w:r>
      <w:r>
        <w:t xml:space="preserve"> </w:t>
      </w:r>
      <w:r>
        <w:t xml:space="preserve">Five out of the 196 accessions carried a rare allele increasing aphid abundance, while the other accessions have major alleles (Figure SXa).</w:t>
      </w:r>
      <w:r>
        <w:t xml:space="preserve"> </w:t>
      </w:r>
      <w:r>
        <w:t xml:space="preserve">Genome sequences of four (line V, X, Y, and Z) of the five rare accessions are available in the 1001 Genome Project</w:t>
      </w:r>
      <w:r>
        <w:t xml:space="preserve"> </w:t>
      </w:r>
      <w:r>
        <w:t xml:space="preserve">[35]</w:t>
      </w:r>
      <w:r>
        <w:t xml:space="preserve">, where three (line V, X, and Y) of the four available accessions shared similar patterns near chr3-4579292 but differed from major accessions (Figure SXb).</w:t>
      </w:r>
      <w:r>
        <w:t xml:space="preserve"> </w:t>
      </w:r>
      <w:r>
        <w:t xml:space="preserve">Three candidate genes were located nearest to the chr3-4579292, such as a putative ribosomal gene (AT3G13882) that is homologous to a ribosome protein L34 gene (RPL34)</w:t>
      </w:r>
      <w:r>
        <w:t xml:space="preserve"> </w:t>
      </w:r>
      <w:r>
        <w:t xml:space="preserve">[41]</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[36]</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[36]</w:t>
      </w:r>
      <w:r>
        <w:t xml:space="preserve">.</w:t>
      </w:r>
      <w:r>
        <w:t xml:space="preserve"> </w:t>
      </w:r>
      <w:r>
        <w:t xml:space="preserve">Because aphids were unlikely to suck saps from anthers and pistils, we focused on the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sSub>
          <m:e>
            <m:r>
              <m:t>F</m:t>
            </m:r>
          </m:e>
          <m:sub>
            <m:r>
              <m:t>1</m:t>
            </m:r>
            <m:r>
              <m:rPr>
                <m:sty m:val="p"/>
              </m:rPr>
              <m:t>,</m:t>
            </m:r>
            <m:r>
              <m:t>9</m:t>
            </m:r>
          </m:sub>
        </m:sSub>
        <m:r>
          <m:rPr>
            <m:sty m:val="p"/>
          </m:rPr>
          <m:t>=</m:t>
        </m:r>
        <m:r>
          <m:t>42.1</m:t>
        </m:r>
        <m:r>
          <m:rPr>
            <m:sty m:val="p"/>
          </m:rPr>
          <m:t>,</m:t>
        </m:r>
        <m:r>
          <m:t>p</m:t>
        </m:r>
        <m:r>
          <m:rPr>
            <m:sty m:val="p"/>
          </m:rPr>
          <m:t>=</m:t>
        </m:r>
        <m:r>
          <m:t>0.00011</m:t>
        </m:r>
      </m:oMath>
      <w:r>
        <w:t xml:space="preserve">: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sSub>
          <m:e>
            <m:r>
              <m:t>F</m:t>
            </m:r>
          </m:e>
          <m:sub>
            <m:r>
              <m:t>1</m:t>
            </m:r>
            <m:r>
              <m:rPr>
                <m:sty m:val="p"/>
              </m:rPr>
              <m:t>,</m:t>
            </m:r>
            <m:r>
              <m:t>9</m:t>
            </m:r>
          </m:sub>
        </m:sSub>
        <m:r>
          <m:rPr>
            <m:sty m:val="p"/>
          </m:rPr>
          <m:t>=</m:t>
        </m:r>
        <m:r>
          <m:t>48.8</m:t>
        </m:r>
        <m:r>
          <m:rPr>
            <m:sty m:val="p"/>
          </m:rPr>
          <m:t>,</m:t>
        </m:r>
        <m:r>
          <m:t>p</m:t>
        </m:r>
        <m:r>
          <m:rPr>
            <m:sty m:val="p"/>
          </m:rPr>
          <m:t>&lt;</m:t>
        </m:r>
        <m:r>
          <m:t>0.0001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We observed a reduced number of aphids on the AT3G13882 mutant compared to the wild type at 7, 10, 14 days after the release of aphids (</w:t>
      </w:r>
      <m:oMath>
        <m:sSub>
          <m:e>
            <m:r>
              <m:t>F</m:t>
            </m:r>
          </m:e>
          <m:sub>
            <m:r>
              <m:t>1</m:t>
            </m:r>
            <m:r>
              <m:rPr>
                <m:sty m:val="p"/>
              </m:rPr>
              <m:t>,</m:t>
            </m:r>
            <m:r>
              <m:t>9</m:t>
            </m:r>
          </m:sub>
        </m:sSub>
        <m:r>
          <m:rPr>
            <m:sty m:val="p"/>
          </m:rPr>
          <m:t>=</m:t>
        </m:r>
        <m:r>
          <m:t>19.3</m:t>
        </m:r>
        <m:r>
          <m:rPr>
            <m:sty m:val="p"/>
          </m:rPr>
          <m:t>,</m:t>
        </m:r>
        <m:r>
          <m:t>p</m:t>
        </m:r>
        <m:r>
          <m:rPr>
            <m:sty m:val="p"/>
          </m:rPr>
          <m:t>=</m:t>
        </m:r>
        <m:r>
          <m:t>0.0017</m:t>
        </m:r>
      </m:oMath>
      <w:r>
        <w:t xml:space="preserve"> </w:t>
      </w:r>
      <w:r>
        <w:t xml:space="preserve">at 7 days; Fig.</w:t>
      </w:r>
      <w:r>
        <w:t xml:space="preserve"> </w:t>
      </w:r>
      <w:hyperlink w:anchor="fig:mutant">
        <w:r>
          <w:rPr>
            <w:rStyle w:val="Hyperlink"/>
          </w:rPr>
          <w:t xml:space="preserve">2</w:t>
        </w:r>
      </w:hyperlink>
      <w:r>
        <w:t xml:space="preserve">D: see also Fig.</w:t>
      </w:r>
      <w:r>
        <w:t xml:space="preserve"> </w:t>
      </w:r>
      <w:hyperlink w:anchor="fig:aphid_stat">
        <w:r>
          <w:rPr>
            <w:rStyle w:val="Hyperlink"/>
          </w:rPr>
          <w:t xml:space="preserve">S5</w:t>
        </w:r>
      </w:hyperlink>
      <w:r>
        <w:t xml:space="preserve"> </w:t>
      </w:r>
      <w:r>
        <w:t xml:space="preserve">for results at 10 and 14 days), suggesting that the delayed growth of the host negatively affected aphid colony establishment.</w:t>
      </w:r>
      <w:r>
        <w:t xml:space="preserve"> </w:t>
      </w:r>
      <w:r>
        <w:t xml:space="preserve">We also incorporated the plant size or flowering time as an offset term in GLMMs to examine their confounding influence on aphid abundance.</w:t>
      </w:r>
      <w:r>
        <w:t xml:space="preserve"> </w:t>
      </w:r>
      <w:r>
        <w:t xml:space="preserve">When the plant size was offset, the number of aphids less significantly differed between the wild type and mutant (Table SX).</w:t>
      </w:r>
      <w:r>
        <w:t xml:space="preserve"> </w:t>
      </w:r>
      <w:r>
        <w:t xml:space="preserve">When the flowering time was offset, the number of aphids more significantly differed between the wild type and mutant (Table SX).</w:t>
      </w:r>
      <w:r>
        <w:t xml:space="preserve"> </w:t>
      </w:r>
      <w:r>
        <w:t xml:space="preserve">These additional analyses support the observational evidence that delayed growth and flowering of the mutant plant results in less successful establishment of aphid colony than the wild type.</w:t>
      </w:r>
    </w:p>
    <w:bookmarkEnd w:id="38"/>
    <w:bookmarkEnd w:id="39"/>
    <w:bookmarkStart w:id="40" w:name="discussion"/>
    <w:p>
      <w:pPr>
        <w:pStyle w:val="Heading1"/>
      </w:pPr>
      <w:r>
        <w:t xml:space="preserve">Discussion</w:t>
      </w:r>
    </w:p>
    <w:p>
      <w:pPr>
        <w:pStyle w:val="FirstParagraph"/>
      </w:pPr>
      <w:r>
        <w:t xml:space="preserve">Guided by the field GWAS of aphid abundance, we discovered a mutant plant that exhibited slower growth and harbored fewer aphids in</w:t>
      </w:r>
      <w:r>
        <w:t xml:space="preserve"> </w:t>
      </w:r>
      <w:r>
        <w:rPr>
          <w:iCs/>
          <w:i/>
        </w:rPr>
        <w:t xml:space="preserve">A. thaliana</w:t>
      </w:r>
      <w:r>
        <w:t xml:space="preserve">. 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[42]</w:t>
      </w:r>
      <w:r>
        <w:t xml:space="preserve">, reduced root length</w:t>
      </w:r>
      <w:r>
        <w:t xml:space="preserve"> </w:t>
      </w:r>
      <w:r>
        <w:t xml:space="preserve">[43]</w:t>
      </w:r>
      <w:r>
        <w:t xml:space="preserve">, and the reduction of pollen number</w:t>
      </w:r>
      <w:r>
        <w:t xml:space="preserve"> </w:t>
      </w:r>
      <w:r>
        <w:t xml:space="preserve">[17,44]</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p>
    <w:p>
      <w:pPr>
        <w:pStyle w:val="BodyText"/>
      </w:pPr>
      <w:r>
        <w:t xml:space="preserve">We should note, however, that further study on natural variants responsible for the delayed growth and reduced aphid abundance would be necessary to validate its importance in the field.</w:t>
      </w:r>
      <w:r>
        <w:t xml:space="preserve"> </w:t>
      </w:r>
      <w:r>
        <w:t xml:space="preserve">Multiple alleles on the AT3G13882 gene are also needed to provide strong evidence of those phenotypes.</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plant growth and pollen number in</w:t>
      </w:r>
      <w:r>
        <w:t xml:space="preserve"> </w:t>
      </w:r>
      <w:r>
        <w:rPr>
          <w:iCs/>
          <w:i/>
        </w:rPr>
        <w:t xml:space="preserve">A. thaliana</w:t>
      </w:r>
      <w:r>
        <w:t xml:space="preserve"> </w:t>
      </w:r>
      <w:r>
        <w:t xml:space="preserve">[17,44]</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[17]</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natural alleles needs to be created using genome editing technology and then exchanged between natural accessions by crossing</w:t>
      </w:r>
      <w:r>
        <w:t xml:space="preserve"> </w:t>
      </w:r>
      <w:r>
        <w:t xml:space="preserve">[17]</w:t>
      </w:r>
      <w:r>
        <w:t xml:space="preserve">,</w:t>
      </w:r>
      <w:r>
        <w:t xml:space="preserve"> </w:t>
      </w:r>
      <w:r>
        <w:t xml:space="preserve">Such quantitative complementation tests</w:t>
      </w:r>
      <w:r>
        <w:t xml:space="preserve"> </w:t>
      </w:r>
      <w:r>
        <w:t xml:space="preserve">[17,44]</w:t>
      </w:r>
      <w:r>
        <w:t xml:space="preserve"> </w:t>
      </w:r>
      <w:r>
        <w:t xml:space="preserve">will be needed to identify natural causal variants that alter aphid abundance through delayed growth.</w:t>
      </w:r>
    </w:p>
    <w:p>
      <w:pPr>
        <w:pStyle w:val="BodyText"/>
      </w:pPr>
      <w:r>
        <w:t xml:space="preserve">Discovery of flowering-associated loci is sometimes of main interests in GWAS, but other times conceals net genetic effects on other complex traits of interests</w:t>
      </w:r>
      <w:r>
        <w:t xml:space="preserve"> </w:t>
      </w:r>
      <w:r>
        <w:t xml:space="preserve">[45,46]</w:t>
      </w:r>
      <w:r>
        <w:t xml:space="preserve">.</w:t>
      </w:r>
      <w:r>
        <w:t xml:space="preserve"> </w:t>
      </w:r>
      <w:r>
        <w:t xml:space="preserve">Our GWAS of aphid abundance unexpectedly led us to detect a significant rare variant that was also partially associated with the bolting.</w:t>
      </w:r>
      <w:r>
        <w:t xml:space="preserve"> </w:t>
      </w:r>
      <w:r>
        <w:t xml:space="preserve">By ruling out the plant size and flowering time as confounding factors, we were able to detect substantial contributions of plant apparency to aphid abundance.</w:t>
      </w:r>
      <w:r>
        <w:t xml:space="preserve"> </w:t>
      </w:r>
      <w:r>
        <w:t xml:space="preserve">This finding does not necessarily indicates the irrelevance of chemical and physical defense traits to herbivore colonization.</w:t>
      </w:r>
      <w:r>
        <w:t xml:space="preserve"> </w:t>
      </w:r>
      <w:r>
        <w:t xml:space="preserve">Although our top-scoring SNP did not match known GWAS peaks of glucosinolates</w:t>
      </w:r>
      <w:r>
        <w:t xml:space="preserve"> </w:t>
      </w:r>
      <w:r>
        <w:t xml:space="preserve">[47]</w:t>
      </w:r>
      <w:r>
        <w:t xml:space="preserve">, it was still possible that secondary metabolites and volatile-mediated defense signaling were more influential on aphid colonization.</w:t>
      </w:r>
      <w:r>
        <w:t xml:space="preserve"> </w:t>
      </w:r>
      <w:r>
        <w:t xml:space="preserve">While plant apparency can alter the initial colonization of aphids in</w:t>
      </w:r>
      <w:r>
        <w:t xml:space="preserve"> </w:t>
      </w:r>
      <w:r>
        <w:rPr>
          <w:iCs/>
          <w:i/>
        </w:rPr>
        <w:t xml:space="preserve">A. thaliana</w:t>
      </w:r>
      <w:r>
        <w:t xml:space="preserve">, its long-term consequence on plant defense and resultant fitness remains unknown.</w:t>
      </w:r>
      <w:r>
        <w:t xml:space="preserve"> </w:t>
      </w:r>
      <w:r>
        <w:t xml:space="preserve">Further studies on fitness consequence besides the identification of natural causal variants would be needed to verify ecological impacts of a single-gene on plant-herbivore interactions.</w:t>
      </w:r>
    </w:p>
    <w:p>
      <w:pPr>
        <w:pStyle w:val="BodyText"/>
      </w:pPr>
      <w:r>
        <w:t xml:space="preserve">Overall, our study suggests the potential importance of genetically based plant apparency in altering herbivore abundance.</w:t>
      </w:r>
      <w:r>
        <w:t xml:space="preserve"> </w:t>
      </w: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[2,3]</w:t>
      </w:r>
      <w:r>
        <w:t xml:space="preserve">) and physical defense (</w:t>
      </w:r>
      <w:r>
        <w:rPr>
          <w:iCs/>
          <w:i/>
        </w:rPr>
        <w:t xml:space="preserve">GLABRA1</w:t>
      </w:r>
      <w:r>
        <w:t xml:space="preserve"> </w:t>
      </w:r>
      <w:r>
        <w:t xml:space="preserve">in</w:t>
      </w:r>
      <w:r>
        <w:t xml:space="preserve"> </w:t>
      </w:r>
      <w:r>
        <w:rPr>
          <w:iCs/>
          <w:i/>
        </w:rPr>
        <w:t xml:space="preserve">A. thaliana</w:t>
      </w:r>
      <w:r>
        <w:t xml:space="preserve"> </w:t>
      </w:r>
      <w:r>
        <w:t xml:space="preserve">[4]</w:t>
      </w:r>
      <w:r>
        <w:t xml:space="preserve">) against herbivores.</w:t>
      </w:r>
      <w:r>
        <w:t xml:space="preserve"> </w:t>
      </w:r>
      <w:r>
        <w:t xml:space="preserve">In contrast, field GWAS offered a hypothesis-free approach to screen candidate genes responsible for herbivore abundance</w:t>
      </w:r>
      <w:r>
        <w:t xml:space="preserve"> </w:t>
      </w:r>
      <w:r>
        <w:t xml:space="preserve">[15]</w:t>
      </w:r>
      <w:r>
        <w:t xml:space="preserve">.</w:t>
      </w:r>
      <w:r>
        <w:t xml:space="preserve"> </w:t>
      </w:r>
      <w:r>
        <w:t xml:space="preserve">These lines of studies suggest that plant genetic variation governs herbivore abundance and communities</w:t>
      </w:r>
      <w:r>
        <w:t xml:space="preserve"> </w:t>
      </w:r>
      <w:r>
        <w:t xml:space="preserve">[4,12,13,15]</w:t>
      </w:r>
      <w:r>
        <w:t xml:space="preserve">, but a keystone gene shaping the ecological communities was not identified until recently</w:t>
      </w:r>
      <w:r>
        <w:t xml:space="preserve"> </w:t>
      </w:r>
      <w:r>
        <w:t xml:space="preserve">[38]</w:t>
      </w:r>
      <w:r>
        <w:t xml:space="preserve">.</w:t>
      </w:r>
      <w:r>
        <w:t xml:space="preserve"> </w:t>
      </w:r>
      <w:r>
        <w:t xml:space="preserve">Barbour et al.</w:t>
      </w:r>
      <w:r>
        <w:t xml:space="preserve"> </w:t>
      </w:r>
      <w:r>
        <w:t xml:space="preserve">[38]</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exhibit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[48,49]</w:t>
      </w:r>
      <w:r>
        <w:t xml:space="preserve">, future studies may reveal cascading effects of delayed plant growth on food webs.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 and its published version is deposited on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review and editing; Y.S.: conceptualization, funding acquisition, project administration, supervision, field investigation, data curation, formal analysis, draft writing, review and editing; M.Y.: laboratory investigation, methodology (molecular), project administration, review and editing; M.B.: laboratory investigation, methodology (molecular); M.A.B: resources (insects), review and editing; J.B.: conceptualization, funding acquisition, supervision,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R. Hostettler for assistance with the molecular experiments.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Swiss National Science Foundation grant (31003A_182318 to K.K.S.); Japan Science and Technology Agency (Grant numbers JPMJCR16O3 to K.K.S. and JPMJPR17Q4 to Y.S.); and Japan Society for the Promotion of Science, Grant-in-Aid for Transformative Research Areas (22H05179 to K.K.S.).</w:t>
      </w:r>
    </w:p>
    <w:bookmarkEnd w:id="47"/>
    <w:bookmarkStart w:id="56" w:name="figures"/>
    <w:p>
      <w:pPr>
        <w:pStyle w:val="Heading1"/>
      </w:pPr>
      <w:r>
        <w:t xml:space="preserve">Figures</w:t>
      </w:r>
    </w:p>
    <w:p>
      <w:pPr>
        <w:pStyle w:val="CaptionedFigure"/>
      </w:pPr>
      <w:bookmarkStart w:id="51" w:name="fig:ManPlot"/>
      <w:r>
        <w:drawing>
          <wp:inline>
            <wp:extent cx="5334000" cy="4320988"/>
            <wp:effectExtent b="0" l="0" r="0" t="0"/>
            <wp:docPr descr="Figure 1. Genome-wide association study of aphid abundance on 196 Arabidopsis thaliana accessions grown in the field. (A) A genomic region within ca. 5 kbp from the top-scoring SNP at Chr3-4579292 displays the position of candidate genes. Only the longest splice variant (black horizontal arrow) is shown for each gene.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df" id="50" name="Picture"/>
                    <pic:cNvPicPr>
                      <a:picLocks noChangeArrowheads="1" noChangeAspect="1"/>
                    </pic:cNvPicPr>
                  </pic:nvPicPr>
                  <pic:blipFill>
                    <a:blip r:embed="rId48"/>
                    <a:stretch>
                      <a:fillRect/>
                    </a:stretch>
                  </pic:blipFill>
                  <pic:spPr bwMode="auto">
                    <a:xfrm>
                      <a:off x="0" y="0"/>
                      <a:ext cx="5334000" cy="4320988"/>
                    </a:xfrm>
                    <a:prstGeom prst="rect">
                      <a:avLst/>
                    </a:prstGeom>
                    <a:noFill/>
                    <a:ln w="9525">
                      <a:noFill/>
                      <a:headEnd/>
                      <a:tailEnd/>
                    </a:ln>
                  </pic:spPr>
                </pic:pic>
              </a:graphicData>
            </a:graphic>
          </wp:inline>
        </w:drawing>
      </w:r>
      <w:bookmarkEnd w:id="51"/>
    </w:p>
    <w:p>
      <w:pPr>
        <w:pStyle w:val="ImageCaption"/>
      </w:pPr>
      <w:r>
        <w:t xml:space="preserve">Figure 1. Genome-wide association study of aphid abundance on 196</w:t>
      </w:r>
      <w:r>
        <w:t xml:space="preserve"> </w:t>
      </w:r>
      <w:r>
        <w:rPr>
          <w:iCs/>
          <w:i/>
        </w:rPr>
        <w:t xml:space="preserve">Arabidopsis thaliana</w:t>
      </w:r>
      <w:r>
        <w:t xml:space="preserve"> </w:t>
      </w:r>
      <w:r>
        <w:t xml:space="preserve">accessions grown in the field. (A) A genomic region within ca. 5 kbp from the top-scoring SNP at Chr3-4579292 displays the position of candidate genes. Only the longest splice variant (black horizontal arrow) is shown for each gene.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graph (A), plant size (B), flowering time (C), and aphid abundance (D) of the Col-0 wild type (WT) and the ribosomal gene mutant (AT3G13882) of Arabidopsis thaliana under laboratory conditions. Flowering time and aphid abundance represents the number of days to flowering and log2(no. of aphids + 1), respectively. Asterisks indicate the statistical significance by generalized linear mixed models; ** p&lt;0.01; *** p&lt;0.001; **** p&lt;0.001.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laboratory conditions. Flowering time and aphid abundance represents the number of days to flowering and log</w:t>
      </w:r>
      <w:r>
        <w:rPr>
          <w:vertAlign w:val="subscript"/>
        </w:rPr>
        <w:t xml:space="preserve">2</w:t>
      </w:r>
      <w:r>
        <w:t xml:space="preserve">(no. of aphids + 1), respectively. Asterisks indicate the statistical significance by generalized linear mixed models; **</w:t>
      </w:r>
      <w:r>
        <w:t xml:space="preserve"> </w:t>
      </w:r>
      <m:oMath>
        <m:r>
          <m:t>p</m:t>
        </m:r>
        <m:r>
          <m:rPr>
            <m:sty m:val="p"/>
          </m:rPr>
          <m:t>&lt;</m:t>
        </m:r>
        <m:r>
          <m:t>0.01</m:t>
        </m:r>
      </m:oMath>
      <w:r>
        <w:t xml:space="preserve">; ***</w:t>
      </w:r>
      <w:r>
        <w:t xml:space="preserve"> </w:t>
      </w:r>
      <m:oMath>
        <m:r>
          <m:t>p</m:t>
        </m:r>
        <m:r>
          <m:rPr>
            <m:sty m:val="p"/>
          </m:rPr>
          <m:t>&lt;</m:t>
        </m:r>
        <m:r>
          <m:t>0.001</m:t>
        </m:r>
      </m:oMath>
      <w:r>
        <w:t xml:space="preserve">; ****</w:t>
      </w:r>
      <w:r>
        <w:t xml:space="preserve">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7" w:name="supplementary-materials"/>
    <w:p>
      <w:pPr>
        <w:pStyle w:val="Heading1"/>
      </w:pPr>
      <w:r>
        <w:t xml:space="preserve">Supplementary Materials</w:t>
      </w:r>
    </w:p>
    <w:p>
      <w:pPr>
        <w:pStyle w:val="CaptionedFigure"/>
      </w:pPr>
      <w:bookmarkStart w:id="60"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980623"/>
                    </a:xfrm>
                    <a:prstGeom prst="rect">
                      <a:avLst/>
                    </a:prstGeom>
                    <a:noFill/>
                    <a:ln w="9525">
                      <a:noFill/>
                      <a:headEnd/>
                      <a:tailEnd/>
                    </a:ln>
                  </pic:spPr>
                </pic:pic>
              </a:graphicData>
            </a:graphic>
          </wp:inline>
        </w:drawing>
      </w:r>
      <w:bookmarkEnd w:id="60"/>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w:t>
      </w:r>
    </w:p>
    <w:p>
      <w:pPr>
        <w:pStyle w:val="CaptionedFigure"/>
      </w:pPr>
      <w:bookmarkStart w:id="64" w:name="fig:sqRT_PCR"/>
      <w:r>
        <w:drawing>
          <wp:inline>
            <wp:extent cx="3810000" cy="2540000"/>
            <wp:effectExtent b="0" l="0" r="0" t="0"/>
            <wp:docPr descr="Figure S2. Semi-quantitative reverse transcription and polymerase chain reaction (sqRT-PCR) of the ribosomal gene mutant mutant AT3G13882 (SALK_039481). Two primer sets A-D were used for AT3G13882; and E for an internal control gene ETL1 (see Table S4 for the primer information). This figure shows that the gene expression of AT3G13882 is suppressed in the mutant line SALK_039481." title="" id="62" name="Picture"/>
            <a:graphic>
              <a:graphicData uri="http://schemas.openxmlformats.org/drawingml/2006/picture">
                <pic:pic>
                  <pic:nvPicPr>
                    <pic:cNvPr descr="../figures/FigS_gel_annotation.tif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bookmarkEnd w:id="64"/>
    </w:p>
    <w:p>
      <w:pPr>
        <w:pStyle w:val="ImageCaption"/>
      </w:pPr>
      <w:r>
        <w:t xml:space="preserve">Figure S2. Semi-quantitative reverse transcription and polymerase chain reaction (sqRT-PCR) of the ribosomal gene mutant mutant AT3G13882 (SALK_039481). Two primer sets A-D were used for AT3G13882; and E for an internal control gene</w:t>
      </w:r>
      <w:r>
        <w:t xml:space="preserve"> </w:t>
      </w:r>
      <w:r>
        <w:rPr>
          <w:iCs/>
          <w:i/>
        </w:rPr>
        <w:t xml:space="preserve">ETL1</w:t>
      </w:r>
      <w:r>
        <w:t xml:space="preserve"> </w:t>
      </w:r>
      <w:r>
        <w:t xml:space="preserve">(see Table S4 for the primer information). This figure shows that the gene expression of AT3G13882 is suppressed in the mutant line SALK_039481.</w:t>
      </w:r>
    </w:p>
    <w:p>
      <w:pPr>
        <w:pStyle w:val="CaptionedFigure"/>
      </w:pPr>
      <w:bookmarkStart w:id="68" w:name="fig:aphid_day"/>
      <w:r>
        <w:drawing>
          <wp:inline>
            <wp:extent cx="5334000" cy="3619149"/>
            <wp:effectExtent b="0" l="0" r="0" t="0"/>
            <wp:docPr descr="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 Lipaphis erysimi and Brevicoryne brassicae." title="" id="66" name="Picture"/>
            <a:graphic>
              <a:graphicData uri="http://schemas.openxmlformats.org/drawingml/2006/picture">
                <pic:pic>
                  <pic:nvPicPr>
                    <pic:cNvPr descr="../figures/aphid_No_per_day.png" id="67" name="Picture"/>
                    <pic:cNvPicPr>
                      <a:picLocks noChangeArrowheads="1" noChangeAspect="1"/>
                    </pic:cNvPicPr>
                  </pic:nvPicPr>
                  <pic:blipFill>
                    <a:blip r:embed="rId65"/>
                    <a:stretch>
                      <a:fillRect/>
                    </a:stretch>
                  </pic:blipFill>
                  <pic:spPr bwMode="auto">
                    <a:xfrm>
                      <a:off x="0" y="0"/>
                      <a:ext cx="5334000" cy="3619149"/>
                    </a:xfrm>
                    <a:prstGeom prst="rect">
                      <a:avLst/>
                    </a:prstGeom>
                    <a:noFill/>
                    <a:ln w="9525">
                      <a:noFill/>
                      <a:headEnd/>
                      <a:tailEnd/>
                    </a:ln>
                  </pic:spPr>
                </pic:pic>
              </a:graphicData>
            </a:graphic>
          </wp:inline>
        </w:drawing>
      </w:r>
      <w:bookmarkEnd w:id="68"/>
    </w:p>
    <w:p>
      <w:pPr>
        <w:pStyle w:val="ImageCaption"/>
      </w:pPr>
      <w:r>
        <w:t xml:space="preserve">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2" w:name="fig:qqplot"/>
      <w:r>
        <w:drawing>
          <wp:inline>
            <wp:extent cx="5334000" cy="5334000"/>
            <wp:effectExtent b="0" l="0" r="0" t="0"/>
            <wp:docPr descr="Figure S4. A quantile-quantile (QQ) plot showing relationships between the observed and expected association score of -log10(p). A red solid line indicates randomly expected association scores abd the shaded area corresponds to its 95% confidence intervals. This figure shows that the top-scoring SNP at Chr3-4579292 is larger than the upper 95% confidence interval." title="" id="70" name="Picture"/>
            <a:graphic>
              <a:graphicData uri="http://schemas.openxmlformats.org/drawingml/2006/picture">
                <pic:pic>
                  <pic:nvPicPr>
                    <pic:cNvPr descr="../figures/log_BbLe_max_QQ.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bookmarkEnd w:id="72"/>
    </w:p>
    <w:p>
      <w:pPr>
        <w:pStyle w:val="ImageCaption"/>
      </w:pPr>
      <w:r>
        <w:t xml:space="preserve">Figure S4. A quantile-quantile (QQ) plot showing relationships between the observed and expected association score of -log</w:t>
      </w:r>
      <w:r>
        <w:rPr>
          <w:vertAlign w:val="subscript"/>
        </w:rPr>
        <w:t xml:space="preserve">10</w:t>
      </w:r>
      <w:r>
        <w:t xml:space="preserve">(</w:t>
      </w:r>
      <m:oMath>
        <m:r>
          <m:t>p</m:t>
        </m:r>
      </m:oMath>
      <w:r>
        <w:t xml:space="preserve">). A red solid line indicates randomly expected association scores abd the shaded area corresponds to its 95% confidence intervals. This figure shows that the top-scoring SNP at Chr3-4579292 is larger than the upper 95% confidence interval.</w:t>
      </w:r>
    </w:p>
    <w:p>
      <w:pPr>
        <w:pStyle w:val="CaptionedFigure"/>
      </w:pPr>
      <w:bookmarkStart w:id="76" w:name="fig:aphid_last"/>
      <w:r>
        <w:drawing>
          <wp:inline>
            <wp:extent cx="5334000" cy="2667000"/>
            <wp:effectExtent b="0" l="0" r="0" t="0"/>
            <wp:docPr descr="Figure S5. Aphid abundance during the later period of incubation. Aphid abundance represents log2(no. of aphids + 1). Same as the result at 7 days (Fig. 2D), both the left and right panels have significant differences of the aphid abundance between the mutant (AT3G13882) and wild type (WT) (F_{1,9}=56.96, p&lt;10^{-4} for 10 days; F_{1,9}=131.3, p&lt;10^{-5} for 14 days)." title="" id="74" name="Picture"/>
            <a:graphic>
              <a:graphicData uri="http://schemas.openxmlformats.org/drawingml/2006/picture">
                <pic:pic>
                  <pic:nvPicPr>
                    <pic:cNvPr descr="../figures/aphid_last.pdf"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bookmarkEnd w:id="76"/>
    </w:p>
    <w:p>
      <w:pPr>
        <w:pStyle w:val="ImageCaption"/>
      </w:pPr>
      <w:r>
        <w:t xml:space="preserve">Figure S5. Aphid abundance during the later period of incubation. Aphid abundance represents log</w:t>
      </w:r>
      <w:r>
        <w:rPr>
          <w:vertAlign w:val="subscript"/>
        </w:rPr>
        <w:t xml:space="preserve">2</w:t>
      </w:r>
      <w:r>
        <w:t xml:space="preserve">(no. of aphids + 1). Same as the result at 7 days (Fig.</w:t>
      </w:r>
      <w:r>
        <w:t xml:space="preserve"> </w:t>
      </w:r>
      <w:hyperlink w:anchor="fig:mutant">
        <w:r>
          <w:rPr>
            <w:rStyle w:val="Hyperlink"/>
          </w:rPr>
          <w:t xml:space="preserve">2</w:t>
        </w:r>
      </w:hyperlink>
      <w:r>
        <w:t xml:space="preserve">D), both the left and right panels have significant differences of the aphid abundance between the mutant (AT3G13882) and wild type (WT) (</w:t>
      </w:r>
      <m:oMath>
        <m:sSub>
          <m:e>
            <m:r>
              <m:t>F</m:t>
            </m:r>
          </m:e>
          <m:sub>
            <m:r>
              <m:t>1</m:t>
            </m:r>
            <m:r>
              <m:rPr>
                <m:sty m:val="p"/>
              </m:rPr>
              <m:t>,</m:t>
            </m:r>
            <m:r>
              <m:t>9</m:t>
            </m:r>
          </m:sub>
        </m:sSub>
        <m:r>
          <m:rPr>
            <m:sty m:val="p"/>
          </m:rPr>
          <m:t>=</m:t>
        </m:r>
        <m:r>
          <m:t>56.96</m:t>
        </m:r>
        <m:r>
          <m:rPr>
            <m:sty m:val="p"/>
          </m:rPr>
          <m:t>,</m:t>
        </m:r>
        <m:r>
          <m:t>p</m:t>
        </m:r>
        <m:r>
          <m:rPr>
            <m:sty m:val="p"/>
          </m:rPr>
          <m:t>&lt;</m:t>
        </m:r>
        <m:sSup>
          <m:e>
            <m:r>
              <m:t>10</m:t>
            </m:r>
          </m:e>
          <m:sup>
            <m:r>
              <m:rPr>
                <m:sty m:val="p"/>
              </m:rPr>
              <m:t>−</m:t>
            </m:r>
            <m:r>
              <m:t>4</m:t>
            </m:r>
          </m:sup>
        </m:sSup>
      </m:oMath>
      <w:r>
        <w:t xml:space="preserve"> </w:t>
      </w:r>
      <w:r>
        <w:t xml:space="preserve">for 10 days;</w:t>
      </w:r>
      <w:r>
        <w:t xml:space="preserve"> </w:t>
      </w:r>
      <m:oMath>
        <m:sSub>
          <m:e>
            <m:r>
              <m:t>F</m:t>
            </m:r>
          </m:e>
          <m:sub>
            <m:r>
              <m:t>1</m:t>
            </m:r>
            <m:r>
              <m:rPr>
                <m:sty m:val="p"/>
              </m:rPr>
              <m:t>,</m:t>
            </m:r>
            <m:r>
              <m:t>9</m:t>
            </m:r>
          </m:sub>
        </m:sSub>
        <m:r>
          <m:rPr>
            <m:sty m:val="p"/>
          </m:rPr>
          <m:t>=</m:t>
        </m:r>
        <m:r>
          <m:t>131.3</m:t>
        </m:r>
        <m:r>
          <m:rPr>
            <m:sty m:val="p"/>
          </m:rPr>
          <m:t>,</m:t>
        </m:r>
        <m:r>
          <m:t>p</m:t>
        </m:r>
        <m:r>
          <m:rPr>
            <m:sty m:val="p"/>
          </m:rPr>
          <m:t>&lt;</m:t>
        </m:r>
        <m:sSup>
          <m:e>
            <m:r>
              <m:t>10</m:t>
            </m:r>
          </m:e>
          <m:sup>
            <m:r>
              <m:rPr>
                <m:sty m:val="p"/>
              </m:rPr>
              <m:t>−</m:t>
            </m:r>
            <m:r>
              <m:t>5</m:t>
            </m:r>
          </m:sup>
        </m:sSup>
      </m:oMath>
      <w:r>
        <w:t xml:space="preserve"> </w:t>
      </w:r>
      <w:r>
        <w:t xml:space="preserve">for 14 days).</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set information for sqRT-PCR results shown in Figure</w:t>
      </w:r>
      <w:r>
        <w:t xml:space="preserve"> </w:t>
      </w:r>
      <w:hyperlink w:anchor="fig:sqRT_PCR">
        <w:r>
          <w:rPr>
            <w:rStyle w:val="Hyperlink"/>
          </w:rPr>
          <w:t xml:space="preserve">S2</w:t>
        </w:r>
      </w:hyperlink>
      <w:r>
        <w:t xml:space="preserve">.</w:t>
      </w:r>
    </w:p>
    <w:bookmarkEnd w:id="77"/>
    <w:bookmarkStart w:id="135" w:name="references"/>
    <w:p>
      <w:pPr>
        <w:pStyle w:val="Heading1"/>
      </w:pPr>
      <w:r>
        <w:t xml:space="preserve">References</w:t>
      </w:r>
    </w:p>
    <w:bookmarkStart w:id="134" w:name="refs"/>
    <w:bookmarkStart w:id="78"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78"/>
    <w:bookmarkStart w:id="79" w:name="ref-kessler2004silencing"/>
    <w:p>
      <w:pPr>
        <w:pStyle w:val="Bibliography"/>
      </w:pPr>
      <w:r>
        <w:t xml:space="preserve">2.</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79"/>
    <w:bookmarkStart w:id="80" w:name="ref-schuman2015plant"/>
    <w:p>
      <w:pPr>
        <w:pStyle w:val="Bibliography"/>
      </w:pPr>
      <w:r>
        <w:t xml:space="preserve">3.</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80"/>
    <w:bookmarkStart w:id="81" w:name="ref-sato2019plant"/>
    <w:p>
      <w:pPr>
        <w:pStyle w:val="Bibliography"/>
      </w:pPr>
      <w:r>
        <w:t xml:space="preserve">4.</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1"/>
    <w:bookmarkStart w:id="82" w:name="ref-carmona2011plant"/>
    <w:p>
      <w:pPr>
        <w:pStyle w:val="Bibliography"/>
      </w:pPr>
      <w:r>
        <w:t xml:space="preserve">5.</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82"/>
    <w:bookmarkStart w:id="83" w:name="ref-barton2017future"/>
    <w:p>
      <w:pPr>
        <w:pStyle w:val="Bibliography"/>
      </w:pPr>
      <w:r>
        <w:t xml:space="preserve">6.</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3"/>
    <w:bookmarkStart w:id="84"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4"/>
    <w:bookmarkStart w:id="85" w:name="ref-higuchi2019leaf"/>
    <w:p>
      <w:pPr>
        <w:pStyle w:val="Bibliography"/>
      </w:pPr>
      <w:r>
        <w:t xml:space="preserve">8.</w:t>
      </w:r>
      <w:r>
        <w:t xml:space="preserve"> </w:t>
      </w:r>
      <w:r>
        <w:t xml:space="preserve">	</w:t>
      </w:r>
      <w:r>
        <w:t xml:space="preserve">Higuchi Y, Kawakita A. 2019 Leaf shape deters plant processing by an herbivorous weevil.</w:t>
      </w:r>
      <w:r>
        <w:t xml:space="preserve"> </w:t>
      </w:r>
      <w:r>
        <w:rPr>
          <w:iCs/>
          <w:i/>
        </w:rPr>
        <w:t xml:space="preserve">Nature Plants</w:t>
      </w:r>
      <w:r>
        <w:t xml:space="preserve"> </w:t>
      </w:r>
      <w:r>
        <w:rPr>
          <w:bCs/>
          <w:b/>
        </w:rPr>
        <w:t xml:space="preserve">5</w:t>
      </w:r>
      <w:r>
        <w:t xml:space="preserve">, 959–964.</w:t>
      </w:r>
    </w:p>
    <w:bookmarkEnd w:id="85"/>
    <w:bookmarkStart w:id="87" w:name="ref-feeny1976plant"/>
    <w:p>
      <w:pPr>
        <w:pStyle w:val="Bibliography"/>
      </w:pPr>
      <w:r>
        <w:t xml:space="preserve">9.</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6">
        <w:r>
          <w:rPr>
            <w:rStyle w:val="Hyperlink"/>
          </w:rPr>
          <w:t xml:space="preserve">10.1007/978-1-4684-2646-5_1</w:t>
        </w:r>
      </w:hyperlink>
      <w:r>
        <w:t xml:space="preserve">)</w:t>
      </w:r>
    </w:p>
    <w:bookmarkEnd w:id="87"/>
    <w:bookmarkStart w:id="88" w:name="ref-kawagoe2010escape"/>
    <w:p>
      <w:pPr>
        <w:pStyle w:val="Bibliography"/>
      </w:pPr>
      <w:r>
        <w:t xml:space="preserve">10.</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8"/>
    <w:bookmarkStart w:id="89" w:name="ref-marquis2021escape"/>
    <w:p>
      <w:pPr>
        <w:pStyle w:val="Bibliography"/>
      </w:pPr>
      <w:r>
        <w:t xml:space="preserve">11.</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9"/>
    <w:bookmarkStart w:id="90" w:name="ref-johnson2009heritability"/>
    <w:p>
      <w:pPr>
        <w:pStyle w:val="Bibliography"/>
      </w:pPr>
      <w:r>
        <w:t xml:space="preserve">12.</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90"/>
    <w:bookmarkStart w:id="91" w:name="ref-barbour2015multiple"/>
    <w:p>
      <w:pPr>
        <w:pStyle w:val="Bibliography"/>
      </w:pPr>
      <w:r>
        <w:t xml:space="preserve">13.</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91"/>
    <w:bookmarkStart w:id="92" w:name="ref-santure2018wild"/>
    <w:p>
      <w:pPr>
        <w:pStyle w:val="Bibliography"/>
      </w:pPr>
      <w:r>
        <w:t xml:space="preserve">14.</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92"/>
    <w:bookmarkStart w:id="93" w:name="ref-barker2019linking"/>
    <w:p>
      <w:pPr>
        <w:pStyle w:val="Bibliography"/>
      </w:pPr>
      <w:r>
        <w:t xml:space="preserve">15.</w:t>
      </w:r>
      <w:r>
        <w:t xml:space="preserve"> </w:t>
      </w:r>
      <w:r>
        <w:t xml:space="preserve">	</w:t>
      </w:r>
      <w:r>
        <w:t xml:space="preserve">Barker HL, Riehl JF, Bernhardsson C, Rubert-Nason KF, Holeski LM, Ingvarsson PK, Lindroth RL. 2019 Linking plant genes to insect communities: Identifying the genetic bases of plant traits and community composition.</w:t>
      </w:r>
      <w:r>
        <w:t xml:space="preserve"> </w:t>
      </w:r>
      <w:r>
        <w:rPr>
          <w:iCs/>
          <w:i/>
        </w:rPr>
        <w:t xml:space="preserve">Molecular ecology</w:t>
      </w:r>
      <w:r>
        <w:t xml:space="preserve"> </w:t>
      </w:r>
      <w:r>
        <w:rPr>
          <w:bCs/>
          <w:b/>
        </w:rPr>
        <w:t xml:space="preserve">28</w:t>
      </w:r>
      <w:r>
        <w:t xml:space="preserve">, 4404–4421.</w:t>
      </w:r>
    </w:p>
    <w:bookmarkEnd w:id="93"/>
    <w:bookmarkStart w:id="94" w:name="ref-fujii2019stigmatic"/>
    <w:p>
      <w:pPr>
        <w:pStyle w:val="Bibliography"/>
      </w:pPr>
      <w:r>
        <w:t xml:space="preserve">16.</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4"/>
    <w:bookmarkStart w:id="95" w:name="ref-tsuchimatsu2020adaptive"/>
    <w:p>
      <w:pPr>
        <w:pStyle w:val="Bibliography"/>
      </w:pPr>
      <w:r>
        <w:t xml:space="preserve">17.</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5"/>
    <w:bookmarkStart w:id="96" w:name="ref-honjo2020seasonality"/>
    <w:p>
      <w:pPr>
        <w:pStyle w:val="Bibliography"/>
      </w:pPr>
      <w:r>
        <w:t xml:space="preserve">18.</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6"/>
    <w:bookmarkStart w:id="97" w:name="ref-sato2019transcriptional"/>
    <w:p>
      <w:pPr>
        <w:pStyle w:val="Bibliography"/>
      </w:pPr>
      <w:r>
        <w:t xml:space="preserve">19.</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7"/>
    <w:bookmarkStart w:id="98" w:name="ref-shimizu2011plant"/>
    <w:p>
      <w:pPr>
        <w:pStyle w:val="Bibliography"/>
      </w:pPr>
      <w:r>
        <w:t xml:space="preserve">20.</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8"/>
    <w:bookmarkStart w:id="99" w:name="ref-kudoh2016molecular"/>
    <w:p>
      <w:pPr>
        <w:pStyle w:val="Bibliography"/>
      </w:pPr>
      <w:r>
        <w:t xml:space="preserve">21.</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9"/>
    <w:bookmarkStart w:id="100" w:name="ref-yamasaki2017genomics"/>
    <w:p>
      <w:pPr>
        <w:pStyle w:val="Bibliography"/>
      </w:pPr>
      <w:r>
        <w:t xml:space="preserve">22.</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100"/>
    <w:bookmarkStart w:id="101" w:name="ref-zaidem2019evolutionary"/>
    <w:p>
      <w:pPr>
        <w:pStyle w:val="Bibliography"/>
      </w:pPr>
      <w:r>
        <w:t xml:space="preserve">23.</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101"/>
    <w:bookmarkStart w:id="103" w:name="ref-stockenhuber2021uv"/>
    <w:p>
      <w:pPr>
        <w:pStyle w:val="Bibliography"/>
      </w:pPr>
      <w:r>
        <w:t xml:space="preserve">24.</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102">
        <w:r>
          <w:rPr>
            <w:rStyle w:val="Hyperlink"/>
          </w:rPr>
          <w:t xml:space="preserve">10.1101/2021.12.08.471623</w:t>
        </w:r>
      </w:hyperlink>
      <w:r>
        <w:t xml:space="preserve">)</w:t>
      </w:r>
    </w:p>
    <w:bookmarkEnd w:id="103"/>
    <w:bookmarkStart w:id="104" w:name="ref-thompson1994spatiotemporal"/>
    <w:p>
      <w:pPr>
        <w:pStyle w:val="Bibliography"/>
      </w:pPr>
      <w:r>
        <w:t xml:space="preserve">25.</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4"/>
    <w:bookmarkStart w:id="105" w:name="ref-taylor2017interacting"/>
    <w:p>
      <w:pPr>
        <w:pStyle w:val="Bibliography"/>
      </w:pPr>
      <w:r>
        <w:t xml:space="preserve">26.</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5"/>
    <w:bookmarkStart w:id="106" w:name="ref-mosleh2009herbivory"/>
    <w:p>
      <w:pPr>
        <w:pStyle w:val="Bibliography"/>
      </w:pPr>
      <w:r>
        <w:t xml:space="preserve">27.</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6"/>
    <w:bookmarkStart w:id="107" w:name="ref-zust2012natural"/>
    <w:p>
      <w:pPr>
        <w:pStyle w:val="Bibliography"/>
      </w:pPr>
      <w:r>
        <w:t xml:space="preserve">28.</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7"/>
    <w:bookmarkStart w:id="108" w:name="ref-sato2021neighbor"/>
    <w:p>
      <w:pPr>
        <w:pStyle w:val="Bibliography"/>
      </w:pPr>
      <w:r>
        <w:t xml:space="preserve">29.</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8"/>
    <w:bookmarkStart w:id="109" w:name="ref-horton2012genome"/>
    <w:p>
      <w:pPr>
        <w:pStyle w:val="Bibliography"/>
      </w:pPr>
      <w:r>
        <w:t xml:space="preserve">30.</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9"/>
    <w:bookmarkStart w:id="110" w:name="ref-alonso20161"/>
    <w:p>
      <w:pPr>
        <w:pStyle w:val="Bibliography"/>
      </w:pPr>
      <w:r>
        <w:t xml:space="preserve">31.</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10"/>
    <w:bookmarkStart w:id="111" w:name="ref-seren2018gwa"/>
    <w:p>
      <w:pPr>
        <w:pStyle w:val="Bibliography"/>
      </w:pPr>
      <w:r>
        <w:t xml:space="preserve">32.</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11"/>
    <w:bookmarkStart w:id="113" w:name="ref-togninalli_aragwas_2018"/>
    <w:p>
      <w:pPr>
        <w:pStyle w:val="Bibliography"/>
      </w:pPr>
      <w:r>
        <w:t xml:space="preserve">33.</w:t>
      </w:r>
      <w:r>
        <w:t xml:space="preserve"> </w:t>
      </w:r>
      <w:r>
        <w:t xml:space="preserve">	</w:t>
      </w:r>
      <w:r>
        <w:t xml:space="preserve">Togninalli M, Seren Ü, Meng D, Fitz J, Nordborg M, Weigel D, Borgwardt K, Korte A, Grimm DG. 2018 The</w:t>
      </w:r>
      <w:r>
        <w:t xml:space="preserve"> </w:t>
      </w:r>
      <w:r>
        <w:t xml:space="preserve">AraGWAS</w:t>
      </w:r>
      <w:r>
        <w:t xml:space="preserve"> </w:t>
      </w:r>
      <w:r>
        <w:t xml:space="preserve">Catalog</w:t>
      </w:r>
      <w:r>
        <w:t xml:space="preserve">: A curated and standardized</w:t>
      </w:r>
      <w:r>
        <w:t xml:space="preserve"> </w:t>
      </w:r>
      <w:r>
        <w:t xml:space="preserve">Arabidopsis</w:t>
      </w:r>
      <w:r>
        <w:t xml:space="preserve"> </w:t>
      </w:r>
      <w:r>
        <w:t xml:space="preserve">thaliana</w:t>
      </w:r>
      <w:r>
        <w:t xml:space="preserve"> </w:t>
      </w:r>
      <w:r>
        <w:t xml:space="preserve">GWAS</w:t>
      </w:r>
      <w:r>
        <w:t xml:space="preserve"> </w:t>
      </w:r>
      <w:r>
        <w:t xml:space="preserve">catalog.</w:t>
      </w:r>
      <w:r>
        <w:t xml:space="preserve"> </w:t>
      </w:r>
      <w:r>
        <w:rPr>
          <w:iCs/>
          <w:i/>
        </w:rPr>
        <w:t xml:space="preserve">Nucleic Acids Research</w:t>
      </w:r>
      <w:r>
        <w:t xml:space="preserve"> </w:t>
      </w:r>
      <w:r>
        <w:rPr>
          <w:bCs/>
          <w:b/>
        </w:rPr>
        <w:t xml:space="preserve">46</w:t>
      </w:r>
      <w:r>
        <w:t xml:space="preserve">, D1150–D1156. (doi:</w:t>
      </w:r>
      <w:hyperlink r:id="rId112">
        <w:r>
          <w:rPr>
            <w:rStyle w:val="Hyperlink"/>
          </w:rPr>
          <w:t xml:space="preserve">10.1093/nar/gkx954</w:t>
        </w:r>
      </w:hyperlink>
      <w:r>
        <w:t xml:space="preserve">)</w:t>
      </w:r>
    </w:p>
    <w:bookmarkEnd w:id="113"/>
    <w:bookmarkStart w:id="115" w:name="ref-horton_genome-wide_2012"/>
    <w:p>
      <w:pPr>
        <w:pStyle w:val="Bibliography"/>
      </w:pPr>
      <w:r>
        <w:t xml:space="preserve">34.</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w:t>
      </w:r>
      <w:r>
        <w:t xml:space="preserve"> </w:t>
      </w:r>
      <w:r>
        <w:t xml:space="preserve">RegMap</w:t>
      </w:r>
      <w:r>
        <w:t xml:space="preserve"> </w:t>
      </w:r>
      <w:r>
        <w:t xml:space="preserve">panel.</w:t>
      </w:r>
      <w:r>
        <w:t xml:space="preserve"> </w:t>
      </w:r>
      <w:r>
        <w:rPr>
          <w:iCs/>
          <w:i/>
        </w:rPr>
        <w:t xml:space="preserve">Nature Genetics</w:t>
      </w:r>
      <w:r>
        <w:t xml:space="preserve"> </w:t>
      </w:r>
      <w:r>
        <w:rPr>
          <w:bCs/>
          <w:b/>
        </w:rPr>
        <w:t xml:space="preserve">44</w:t>
      </w:r>
      <w:r>
        <w:t xml:space="preserve">, 212–216. (doi:</w:t>
      </w:r>
      <w:hyperlink r:id="rId114">
        <w:r>
          <w:rPr>
            <w:rStyle w:val="Hyperlink"/>
          </w:rPr>
          <w:t xml:space="preserve">10.1038/ng.1042</w:t>
        </w:r>
      </w:hyperlink>
      <w:r>
        <w:t xml:space="preserve">)</w:t>
      </w:r>
    </w:p>
    <w:bookmarkEnd w:id="115"/>
    <w:bookmarkStart w:id="117" w:name="ref-alonso-blanco_1135_2016"/>
    <w:p>
      <w:pPr>
        <w:pStyle w:val="Bibliography"/>
      </w:pPr>
      <w:r>
        <w:t xml:space="preserve">35.</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 (doi:</w:t>
      </w:r>
      <w:hyperlink r:id="rId116">
        <w:r>
          <w:rPr>
            <w:rStyle w:val="Hyperlink"/>
          </w:rPr>
          <w:t xml:space="preserve">10.1016/j.cell.2016.05.063</w:t>
        </w:r>
      </w:hyperlink>
      <w:r>
        <w:t xml:space="preserve">)</w:t>
      </w:r>
    </w:p>
    <w:bookmarkEnd w:id="117"/>
    <w:bookmarkStart w:id="118" w:name="ref-klepikova2016high"/>
    <w:p>
      <w:pPr>
        <w:pStyle w:val="Bibliography"/>
      </w:pPr>
      <w:r>
        <w:t xml:space="preserve">36.</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18"/>
    <w:bookmarkStart w:id="119" w:name="ref-o2015user"/>
    <w:p>
      <w:pPr>
        <w:pStyle w:val="Bibliography"/>
      </w:pPr>
      <w:r>
        <w:t xml:space="preserve">37.</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19"/>
    <w:bookmarkStart w:id="120" w:name="ref-barbour2022keystone"/>
    <w:p>
      <w:pPr>
        <w:pStyle w:val="Bibliography"/>
      </w:pPr>
      <w:r>
        <w:t xml:space="preserve">38.</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20"/>
    <w:bookmarkStart w:id="122" w:name="ref-Rcite"/>
    <w:p>
      <w:pPr>
        <w:pStyle w:val="Bibliography"/>
      </w:pPr>
      <w:r>
        <w:t xml:space="preserve">39.</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21">
        <w:r>
          <w:rPr>
            <w:rStyle w:val="Hyperlink"/>
          </w:rPr>
          <w:t xml:space="preserve">https://www.R-project.org/</w:t>
        </w:r>
      </w:hyperlink>
      <w:r>
        <w:t xml:space="preserve">.</w:t>
      </w:r>
    </w:p>
    <w:bookmarkEnd w:id="122"/>
    <w:bookmarkStart w:id="124" w:name="ref-lme4"/>
    <w:p>
      <w:pPr>
        <w:pStyle w:val="Bibliography"/>
      </w:pPr>
      <w:r>
        <w:t xml:space="preserve">40.</w:t>
      </w:r>
      <w:r>
        <w:t xml:space="preserve"> </w:t>
      </w:r>
      <w:r>
        <w:t xml:space="preserve">	</w:t>
      </w:r>
      <w:r>
        <w:t xml:space="preserve">Bates D, Mächler M, Bolker B, Walker S. 2015 Fitting linear mixed-effects models using</w:t>
      </w:r>
      <w:r>
        <w:t xml:space="preserve"> </w:t>
      </w:r>
      <w:r>
        <w:t xml:space="preserve">lme4</w:t>
      </w:r>
      <w:r>
        <w:t xml:space="preserve">.</w:t>
      </w:r>
      <w:r>
        <w:t xml:space="preserve"> </w:t>
      </w:r>
      <w:r>
        <w:rPr>
          <w:iCs/>
          <w:i/>
        </w:rPr>
        <w:t xml:space="preserve">Journal of Statistical Software</w:t>
      </w:r>
      <w:r>
        <w:t xml:space="preserve"> </w:t>
      </w:r>
      <w:r>
        <w:rPr>
          <w:bCs/>
          <w:b/>
        </w:rPr>
        <w:t xml:space="preserve">67</w:t>
      </w:r>
      <w:r>
        <w:t xml:space="preserve">, 1–48. (doi:</w:t>
      </w:r>
      <w:hyperlink r:id="rId123">
        <w:r>
          <w:rPr>
            <w:rStyle w:val="Hyperlink"/>
          </w:rPr>
          <w:t xml:space="preserve">10.18637/jss.v067.i01</w:t>
        </w:r>
      </w:hyperlink>
      <w:r>
        <w:t xml:space="preserve">)</w:t>
      </w:r>
    </w:p>
    <w:bookmarkEnd w:id="124"/>
    <w:bookmarkStart w:id="125" w:name="ref-cheng2017araport11"/>
    <w:p>
      <w:pPr>
        <w:pStyle w:val="Bibliography"/>
      </w:pPr>
      <w:r>
        <w:t xml:space="preserve">41.</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25"/>
    <w:bookmarkStart w:id="126" w:name="ref-fujikura2009coordination"/>
    <w:p>
      <w:pPr>
        <w:pStyle w:val="Bibliography"/>
      </w:pPr>
      <w:r>
        <w:t xml:space="preserve">42.</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26"/>
    <w:bookmarkStart w:id="127" w:name="ref-creff2010two"/>
    <w:p>
      <w:pPr>
        <w:pStyle w:val="Bibliography"/>
      </w:pPr>
      <w:r>
        <w:t xml:space="preserve">43.</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27"/>
    <w:bookmarkStart w:id="128" w:name="ref-kakui2022pollen"/>
    <w:p>
      <w:pPr>
        <w:pStyle w:val="Bibliography"/>
      </w:pPr>
      <w:r>
        <w:t xml:space="preserve">44.</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28"/>
    <w:bookmarkStart w:id="129" w:name="ref-hori2012variation"/>
    <w:p>
      <w:pPr>
        <w:pStyle w:val="Bibliography"/>
      </w:pPr>
      <w:r>
        <w:t xml:space="preserve">45.</w:t>
      </w:r>
      <w:r>
        <w:t xml:space="preserve"> </w:t>
      </w:r>
      <w:r>
        <w:t xml:space="preserve">	</w:t>
      </w:r>
      <w:r>
        <w:t xml:space="preserve">Hori K, Kataoka T, Miura K, Yamaguchi M, Saka N, Nakahara T, Sunohara Y, Ebana K, Yano M. 2012 Variation in heading date conceals quantitative trait loci for other traits of importance in breeding selection of rice.</w:t>
      </w:r>
      <w:r>
        <w:t xml:space="preserve"> </w:t>
      </w:r>
      <w:r>
        <w:rPr>
          <w:iCs/>
          <w:i/>
        </w:rPr>
        <w:t xml:space="preserve">Breeding science</w:t>
      </w:r>
      <w:r>
        <w:t xml:space="preserve"> </w:t>
      </w:r>
      <w:r>
        <w:rPr>
          <w:bCs/>
          <w:b/>
        </w:rPr>
        <w:t xml:space="preserve">62</w:t>
      </w:r>
      <w:r>
        <w:t xml:space="preserve">, 223–234.</w:t>
      </w:r>
    </w:p>
    <w:bookmarkEnd w:id="129"/>
    <w:bookmarkStart w:id="130" w:name="ref-onogi2016uncovering"/>
    <w:p>
      <w:pPr>
        <w:pStyle w:val="Bibliography"/>
      </w:pPr>
      <w:r>
        <w:t xml:space="preserve">46.</w:t>
      </w:r>
      <w:r>
        <w:t xml:space="preserve"> </w:t>
      </w:r>
      <w:r>
        <w:t xml:space="preserve">	</w:t>
      </w:r>
      <w:r>
        <w:t xml:space="preserve">Onogi A, Ideta O, Yoshioka T, Ebana K, Yamasaki M, Iwata H. 2016 Uncovering a nuisance influence of a phenological trait of plants using a nonlinear structural equation: Application to days to heading and culm length in asian cultivated rice (oryza sativa l.).</w:t>
      </w:r>
      <w:r>
        <w:t xml:space="preserve"> </w:t>
      </w:r>
      <w:r>
        <w:rPr>
          <w:iCs/>
          <w:i/>
        </w:rPr>
        <w:t xml:space="preserve">PLoS One</w:t>
      </w:r>
      <w:r>
        <w:t xml:space="preserve"> </w:t>
      </w:r>
      <w:r>
        <w:rPr>
          <w:bCs/>
          <w:b/>
        </w:rPr>
        <w:t xml:space="preserve">11</w:t>
      </w:r>
      <w:r>
        <w:t xml:space="preserve">, e0148609.</w:t>
      </w:r>
    </w:p>
    <w:bookmarkEnd w:id="130"/>
    <w:bookmarkStart w:id="131" w:name="ref-brachi2015coselected"/>
    <w:p>
      <w:pPr>
        <w:pStyle w:val="Bibliography"/>
      </w:pPr>
      <w:r>
        <w:t xml:space="preserve">47.</w:t>
      </w:r>
      <w:r>
        <w:t xml:space="preserve"> </w:t>
      </w:r>
      <w:r>
        <w:t xml:space="preserve">	</w:t>
      </w:r>
      <w:r>
        <w:t xml:space="preserve">Brachi B, Meyer CG, Villoutreix R, Platt A, Morton TC, Roux F, Bergelson J. 2015 Coselected genes determine adaptive variation in herbivore resistance throughout the native range of arabidopsis thaliana.</w:t>
      </w:r>
      <w:r>
        <w:t xml:space="preserve"> </w:t>
      </w:r>
      <w:r>
        <w:rPr>
          <w:iCs/>
          <w:i/>
        </w:rPr>
        <w:t xml:space="preserve">Proceedings of the National Academy of Sciences</w:t>
      </w:r>
      <w:r>
        <w:t xml:space="preserve"> </w:t>
      </w:r>
      <w:r>
        <w:rPr>
          <w:bCs/>
          <w:b/>
        </w:rPr>
        <w:t xml:space="preserve">112</w:t>
      </w:r>
      <w:r>
        <w:t xml:space="preserve">, 4032–4037.</w:t>
      </w:r>
    </w:p>
    <w:bookmarkEnd w:id="131"/>
    <w:bookmarkStart w:id="132" w:name="ref-dixon1977aphid"/>
    <w:p>
      <w:pPr>
        <w:pStyle w:val="Bibliography"/>
      </w:pPr>
      <w:r>
        <w:t xml:space="preserve">48.</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32"/>
    <w:bookmarkStart w:id="133" w:name="ref-snyder2003interactions"/>
    <w:p>
      <w:pPr>
        <w:pStyle w:val="Bibliography"/>
      </w:pPr>
      <w:r>
        <w:t xml:space="preserve">49.</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33"/>
    <w:bookmarkEnd w:id="134"/>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1" Target="media/rId61.tiff" /><Relationship Type="http://schemas.openxmlformats.org/officeDocument/2006/relationships/image" Id="rId65" Target="media/rId65.png" /><Relationship Type="http://schemas.openxmlformats.org/officeDocument/2006/relationships/image" Id="rId73" Target="media/rId73.pdf" /><Relationship Type="http://schemas.openxmlformats.org/officeDocument/2006/relationships/image" Id="rId48" Target="media/rId48.pdf" /><Relationship Type="http://schemas.openxmlformats.org/officeDocument/2006/relationships/image" Id="rId69" Target="media/rId69.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16" Target="https://doi.org/10.1016/j.cell.2016.05.063" TargetMode="External" /><Relationship Type="http://schemas.openxmlformats.org/officeDocument/2006/relationships/hyperlink" Id="rId114" Target="https://doi.org/10.1038/ng.1042" TargetMode="External" /><Relationship Type="http://schemas.openxmlformats.org/officeDocument/2006/relationships/hyperlink" Id="rId112" Target="https://doi.org/10.1093/nar/gkx954" TargetMode="External" /><Relationship Type="http://schemas.openxmlformats.org/officeDocument/2006/relationships/hyperlink" Id="rId102" Target="https://doi.org/10.1101/2021.12.08.471623" TargetMode="External" /><Relationship Type="http://schemas.openxmlformats.org/officeDocument/2006/relationships/hyperlink" Id="rId123"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21"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16" Target="https://doi.org/10.1016/j.cell.2016.05.063" TargetMode="External" /><Relationship Type="http://schemas.openxmlformats.org/officeDocument/2006/relationships/hyperlink" Id="rId114" Target="https://doi.org/10.1038/ng.1042" TargetMode="External" /><Relationship Type="http://schemas.openxmlformats.org/officeDocument/2006/relationships/hyperlink" Id="rId112" Target="https://doi.org/10.1093/nar/gkx954" TargetMode="External" /><Relationship Type="http://schemas.openxmlformats.org/officeDocument/2006/relationships/hyperlink" Id="rId102" Target="https://doi.org/10.1101/2021.12.08.471623" TargetMode="External" /><Relationship Type="http://schemas.openxmlformats.org/officeDocument/2006/relationships/hyperlink" Id="rId123"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21"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suggests potential effects of plant apparency on the initial colonization of aphids in Arabidopsis thaliana</dc:title>
  <dc:creator/>
  <cp:keywords/>
  <dcterms:created xsi:type="dcterms:W3CDTF">2023-02-24T00:06:28Z</dcterms:created>
  <dcterms:modified xsi:type="dcterms:W3CDTF">2023-02-24T00:06:28Z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